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Ind w:w="-459" w:type="dxa"/>
        <w:tblLayout w:type="fixed"/>
        <w:tblLook w:val="04A0" w:firstRow="1" w:lastRow="0" w:firstColumn="1" w:lastColumn="0" w:noHBand="0" w:noVBand="1"/>
      </w:tblPr>
      <w:tblGrid>
        <w:gridCol w:w="1452"/>
        <w:gridCol w:w="425"/>
        <w:gridCol w:w="649"/>
        <w:gridCol w:w="60"/>
        <w:gridCol w:w="362"/>
        <w:gridCol w:w="6811"/>
      </w:tblGrid>
      <w:tr w:rsidR="00D83652" w:rsidRPr="00CC24B2" w14:paraId="5AAD06A3" w14:textId="77777777" w:rsidTr="00A517C9">
        <w:trPr>
          <w:trHeight w:val="350"/>
        </w:trPr>
        <w:tc>
          <w:tcPr>
            <w:tcW w:w="9759" w:type="dxa"/>
            <w:gridSpan w:val="6"/>
            <w:hideMark/>
          </w:tcPr>
          <w:p w14:paraId="384FD9B0" w14:textId="77777777" w:rsidR="00D83652" w:rsidRDefault="00D83652" w:rsidP="00CC47A1">
            <w:pPr>
              <w:spacing w:after="0" w:line="360" w:lineRule="auto"/>
              <w:jc w:val="center"/>
              <w:rPr>
                <w:rFonts w:ascii="Arial" w:eastAsia="Times New Roman" w:hAnsi="Arial" w:cs="Arial"/>
                <w:b/>
                <w:bCs/>
                <w:color w:val="000000"/>
                <w:sz w:val="24"/>
                <w:szCs w:val="24"/>
                <w:lang w:eastAsia="el-GR"/>
              </w:rPr>
            </w:pPr>
            <w:r w:rsidRPr="00CC47A1">
              <w:rPr>
                <w:rFonts w:ascii="Arial" w:eastAsia="Times New Roman" w:hAnsi="Arial" w:cs="Arial"/>
                <w:b/>
                <w:bCs/>
                <w:color w:val="000000"/>
                <w:sz w:val="24"/>
                <w:szCs w:val="24"/>
                <w:lang w:eastAsia="el-GR"/>
              </w:rPr>
              <w:t>ΝΟΜΟΣΧΕΔΙΟ ΜΕ ΤΙΤΛΟ:</w:t>
            </w:r>
          </w:p>
          <w:p w14:paraId="6A5F076E" w14:textId="77777777" w:rsidR="00CC47A1" w:rsidRPr="00CC47A1" w:rsidRDefault="00CC47A1" w:rsidP="00CC47A1">
            <w:pPr>
              <w:spacing w:after="0" w:line="360" w:lineRule="auto"/>
              <w:jc w:val="center"/>
              <w:rPr>
                <w:rFonts w:ascii="Arial" w:eastAsia="Times New Roman" w:hAnsi="Arial" w:cs="Arial"/>
                <w:b/>
                <w:bCs/>
                <w:color w:val="000000"/>
                <w:sz w:val="24"/>
                <w:szCs w:val="24"/>
                <w:lang w:eastAsia="el-GR"/>
              </w:rPr>
            </w:pPr>
          </w:p>
        </w:tc>
      </w:tr>
      <w:tr w:rsidR="00D83652" w:rsidRPr="00CC24B2" w14:paraId="11AEFE01" w14:textId="77777777" w:rsidTr="00A517C9">
        <w:trPr>
          <w:trHeight w:val="300"/>
        </w:trPr>
        <w:tc>
          <w:tcPr>
            <w:tcW w:w="9759" w:type="dxa"/>
            <w:gridSpan w:val="6"/>
            <w:shd w:val="clear" w:color="auto" w:fill="auto"/>
            <w:hideMark/>
          </w:tcPr>
          <w:p w14:paraId="3AE488D6" w14:textId="77777777" w:rsidR="00D83652" w:rsidRDefault="00D83652" w:rsidP="00CC47A1">
            <w:pPr>
              <w:spacing w:after="0" w:line="360" w:lineRule="auto"/>
              <w:jc w:val="center"/>
              <w:rPr>
                <w:rFonts w:ascii="Arial" w:eastAsia="Times New Roman" w:hAnsi="Arial" w:cs="Arial"/>
                <w:b/>
                <w:bCs/>
                <w:color w:val="000000"/>
                <w:sz w:val="24"/>
                <w:szCs w:val="24"/>
                <w:lang w:eastAsia="el-GR"/>
              </w:rPr>
            </w:pPr>
            <w:r w:rsidRPr="00CC47A1">
              <w:rPr>
                <w:rFonts w:ascii="Arial" w:eastAsia="Times New Roman" w:hAnsi="Arial" w:cs="Arial"/>
                <w:b/>
                <w:bCs/>
                <w:color w:val="000000"/>
                <w:sz w:val="24"/>
                <w:szCs w:val="24"/>
                <w:lang w:eastAsia="el-GR"/>
              </w:rPr>
              <w:t>ΝΟΜΟΣ ΠΟΥ ΤΡΟΠΟΠΟΙΕΙ ΤΟΥΣ ΠΕΡΙ ΑΚΙΝΗΤΗΣ ΙΔΙΟΚΤΗΣΙΑΣ (ΔΙΑΚΑΤΟΧΗ, ΕΓΓΡΑΦΗ ΚΑΙ ΕΚΤΙΜΗΣΗ) ΝΟΜΟΥΣ (ΚΕΦ. 224)</w:t>
            </w:r>
          </w:p>
          <w:p w14:paraId="6C62499D" w14:textId="77777777" w:rsidR="00CC47A1" w:rsidRPr="00CC47A1" w:rsidRDefault="00CC47A1" w:rsidP="00CC47A1">
            <w:pPr>
              <w:spacing w:after="0" w:line="360" w:lineRule="auto"/>
              <w:jc w:val="center"/>
              <w:rPr>
                <w:rFonts w:ascii="Arial" w:eastAsia="Times New Roman" w:hAnsi="Arial" w:cs="Arial"/>
                <w:color w:val="000000"/>
                <w:sz w:val="24"/>
                <w:szCs w:val="24"/>
                <w:lang w:eastAsia="el-GR"/>
              </w:rPr>
            </w:pPr>
          </w:p>
        </w:tc>
      </w:tr>
      <w:tr w:rsidR="00D83652" w:rsidRPr="00CC24B2" w14:paraId="74365B34" w14:textId="77777777" w:rsidTr="00A517C9">
        <w:trPr>
          <w:trHeight w:val="297"/>
        </w:trPr>
        <w:tc>
          <w:tcPr>
            <w:tcW w:w="1877" w:type="dxa"/>
            <w:gridSpan w:val="2"/>
            <w:shd w:val="clear" w:color="auto" w:fill="auto"/>
          </w:tcPr>
          <w:p w14:paraId="01532A7C" w14:textId="77777777" w:rsidR="00D83652" w:rsidRPr="00CC24B2" w:rsidRDefault="00D83652" w:rsidP="004D6D19">
            <w:pPr>
              <w:spacing w:after="0"/>
              <w:jc w:val="both"/>
              <w:rPr>
                <w:rFonts w:ascii="Arial" w:eastAsia="Times New Roman" w:hAnsi="Arial" w:cs="Arial"/>
                <w:color w:val="000000"/>
                <w:sz w:val="20"/>
                <w:szCs w:val="20"/>
                <w:lang w:eastAsia="el-GR"/>
              </w:rPr>
            </w:pPr>
          </w:p>
        </w:tc>
        <w:tc>
          <w:tcPr>
            <w:tcW w:w="7882" w:type="dxa"/>
            <w:gridSpan w:val="4"/>
            <w:shd w:val="clear" w:color="auto" w:fill="auto"/>
          </w:tcPr>
          <w:p w14:paraId="6E917A69" w14:textId="77777777" w:rsidR="00D83652" w:rsidRDefault="00D83652" w:rsidP="00CC47A1">
            <w:pPr>
              <w:spacing w:after="0" w:line="360" w:lineRule="auto"/>
              <w:jc w:val="both"/>
              <w:rPr>
                <w:rFonts w:ascii="Arial" w:eastAsia="Times New Roman" w:hAnsi="Arial" w:cs="Arial"/>
                <w:color w:val="000000"/>
                <w:sz w:val="24"/>
                <w:szCs w:val="24"/>
                <w:lang w:eastAsia="el-GR"/>
              </w:rPr>
            </w:pPr>
            <w:r w:rsidRPr="00CC47A1">
              <w:rPr>
                <w:rFonts w:ascii="Arial" w:eastAsia="Times New Roman" w:hAnsi="Arial" w:cs="Arial"/>
                <w:color w:val="000000"/>
                <w:sz w:val="24"/>
                <w:szCs w:val="24"/>
                <w:lang w:val="en-US" w:eastAsia="el-GR"/>
              </w:rPr>
              <w:t>H</w:t>
            </w:r>
            <w:r w:rsidRPr="00CC47A1">
              <w:rPr>
                <w:rFonts w:ascii="Arial" w:eastAsia="Times New Roman" w:hAnsi="Arial" w:cs="Arial"/>
                <w:color w:val="000000"/>
                <w:sz w:val="24"/>
                <w:szCs w:val="24"/>
                <w:lang w:eastAsia="el-GR"/>
              </w:rPr>
              <w:t xml:space="preserve"> Βουλή των Αντιπροσώπων ψηφίζει ως ακολούθως</w:t>
            </w:r>
            <w:r w:rsidR="00A906BD" w:rsidRPr="00CC47A1">
              <w:rPr>
                <w:rFonts w:ascii="Arial" w:eastAsia="Times New Roman" w:hAnsi="Arial" w:cs="Arial"/>
                <w:color w:val="000000"/>
                <w:sz w:val="24"/>
                <w:szCs w:val="24"/>
                <w:lang w:eastAsia="el-GR"/>
              </w:rPr>
              <w:t>:</w:t>
            </w:r>
          </w:p>
          <w:p w14:paraId="5E120428" w14:textId="77777777" w:rsidR="00CC47A1" w:rsidRPr="00CC47A1" w:rsidRDefault="00CC47A1" w:rsidP="00CC47A1">
            <w:pPr>
              <w:spacing w:after="0" w:line="360" w:lineRule="auto"/>
              <w:jc w:val="both"/>
              <w:rPr>
                <w:rFonts w:ascii="Arial" w:eastAsia="Times New Roman" w:hAnsi="Arial" w:cs="Arial"/>
                <w:color w:val="000000"/>
                <w:sz w:val="24"/>
                <w:szCs w:val="24"/>
                <w:lang w:eastAsia="el-GR"/>
              </w:rPr>
            </w:pPr>
          </w:p>
        </w:tc>
      </w:tr>
      <w:tr w:rsidR="00D83652" w:rsidRPr="00CC24B2" w14:paraId="5D722E13" w14:textId="77777777" w:rsidTr="00A517C9">
        <w:trPr>
          <w:trHeight w:val="2493"/>
        </w:trPr>
        <w:tc>
          <w:tcPr>
            <w:tcW w:w="1877" w:type="dxa"/>
            <w:gridSpan w:val="2"/>
            <w:shd w:val="clear" w:color="auto" w:fill="auto"/>
            <w:hideMark/>
          </w:tcPr>
          <w:p w14:paraId="6455D093" w14:textId="77777777" w:rsidR="00D83652" w:rsidRPr="00CC47A1" w:rsidRDefault="00D83652" w:rsidP="004D6D19">
            <w:pPr>
              <w:spacing w:after="0"/>
              <w:jc w:val="both"/>
              <w:rPr>
                <w:rFonts w:ascii="Arial" w:eastAsia="Times New Roman" w:hAnsi="Arial" w:cs="Arial"/>
                <w:color w:val="000000"/>
                <w:sz w:val="22"/>
                <w:lang w:eastAsia="el-GR"/>
              </w:rPr>
            </w:pPr>
            <w:r w:rsidRPr="00CC47A1">
              <w:rPr>
                <w:rFonts w:ascii="Arial" w:eastAsia="Times New Roman" w:hAnsi="Arial" w:cs="Arial"/>
                <w:color w:val="000000"/>
                <w:sz w:val="22"/>
                <w:lang w:eastAsia="el-GR"/>
              </w:rPr>
              <w:t xml:space="preserve">Συνοπτικός </w:t>
            </w:r>
          </w:p>
          <w:p w14:paraId="4B2F8CD1" w14:textId="77777777" w:rsidR="00D83652" w:rsidRPr="00CC47A1" w:rsidRDefault="00D83652" w:rsidP="004D6D19">
            <w:pPr>
              <w:spacing w:after="0"/>
              <w:jc w:val="both"/>
              <w:rPr>
                <w:rFonts w:ascii="Arial" w:eastAsia="Times New Roman" w:hAnsi="Arial" w:cs="Arial"/>
                <w:color w:val="000000"/>
                <w:sz w:val="22"/>
                <w:lang w:eastAsia="el-GR"/>
              </w:rPr>
            </w:pPr>
            <w:r w:rsidRPr="00CC47A1">
              <w:rPr>
                <w:rFonts w:ascii="Arial" w:eastAsia="Times New Roman" w:hAnsi="Arial" w:cs="Arial"/>
                <w:color w:val="000000"/>
                <w:sz w:val="22"/>
                <w:lang w:eastAsia="el-GR"/>
              </w:rPr>
              <w:t>τίτλος.</w:t>
            </w:r>
          </w:p>
          <w:p w14:paraId="7A39F99A" w14:textId="77777777" w:rsidR="00D83652" w:rsidRPr="00CC47A1" w:rsidRDefault="00D83652" w:rsidP="004D6D19">
            <w:pPr>
              <w:spacing w:after="0"/>
              <w:ind w:right="74"/>
              <w:rPr>
                <w:rFonts w:ascii="Arial" w:eastAsia="Times New Roman" w:hAnsi="Arial" w:cs="Arial"/>
                <w:color w:val="000000"/>
                <w:sz w:val="22"/>
                <w:lang w:eastAsia="el-GR"/>
              </w:rPr>
            </w:pPr>
            <w:r w:rsidRPr="00CC47A1">
              <w:rPr>
                <w:rFonts w:ascii="Arial" w:eastAsia="Times New Roman" w:hAnsi="Arial" w:cs="Arial"/>
                <w:color w:val="000000"/>
                <w:sz w:val="22"/>
                <w:lang w:eastAsia="el-GR"/>
              </w:rPr>
              <w:t>ΚΕΦ.224</w:t>
            </w:r>
          </w:p>
          <w:p w14:paraId="1D297452"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Κεφ. 224.</w:t>
            </w:r>
          </w:p>
          <w:p w14:paraId="5A602C81"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3 του 1960</w:t>
            </w:r>
          </w:p>
          <w:p w14:paraId="36982BFA"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78 του 1965</w:t>
            </w:r>
          </w:p>
          <w:p w14:paraId="06DBEADE"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10 του 1966</w:t>
            </w:r>
          </w:p>
          <w:p w14:paraId="3DCE0058"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75 του 1968</w:t>
            </w:r>
          </w:p>
          <w:p w14:paraId="22F00491"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51 του 1971</w:t>
            </w:r>
          </w:p>
          <w:p w14:paraId="6CEBE4EC"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2 του 1978</w:t>
            </w:r>
          </w:p>
          <w:p w14:paraId="30BA1F0E"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16 του 1980</w:t>
            </w:r>
          </w:p>
          <w:p w14:paraId="6F463686"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23 του 1982</w:t>
            </w:r>
          </w:p>
          <w:p w14:paraId="73A695B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68 του 1984</w:t>
            </w:r>
          </w:p>
          <w:p w14:paraId="58CB2C3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82 του 1984</w:t>
            </w:r>
          </w:p>
          <w:p w14:paraId="056CB2AC"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86 του 1985</w:t>
            </w:r>
          </w:p>
          <w:p w14:paraId="360F1ECA"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189 του 1986</w:t>
            </w:r>
          </w:p>
          <w:p w14:paraId="7D1D0EF6"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12 του 1987</w:t>
            </w:r>
          </w:p>
          <w:p w14:paraId="5ED3DC91"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74 του 1988</w:t>
            </w:r>
          </w:p>
          <w:p w14:paraId="00C1816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117 του 1988</w:t>
            </w:r>
          </w:p>
          <w:p w14:paraId="1A8E9813"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43 του 1990</w:t>
            </w:r>
          </w:p>
          <w:p w14:paraId="6B6CDF34"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65 του 1990</w:t>
            </w:r>
          </w:p>
          <w:p w14:paraId="4ABBAC1D"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30(Ι) του 1992</w:t>
            </w:r>
          </w:p>
          <w:p w14:paraId="1CC6AB14"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90(Ι) του 1992</w:t>
            </w:r>
          </w:p>
          <w:p w14:paraId="0C9DF03E"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6(Ι) του 1993</w:t>
            </w:r>
          </w:p>
          <w:p w14:paraId="22162310"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58(Ι) του 1994</w:t>
            </w:r>
          </w:p>
          <w:p w14:paraId="464BDA8E" w14:textId="77777777" w:rsid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40(Ι) του 1996</w:t>
            </w:r>
          </w:p>
          <w:p w14:paraId="670C46D6"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31(Ι) του 1998</w:t>
            </w:r>
          </w:p>
          <w:p w14:paraId="5D0663FF"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144(I) του 1999</w:t>
            </w:r>
          </w:p>
          <w:p w14:paraId="593708D3"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123(Ι) του 2001</w:t>
            </w:r>
          </w:p>
          <w:p w14:paraId="2F5A62AA"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57(Ι) του 2005</w:t>
            </w:r>
          </w:p>
          <w:p w14:paraId="3987EFB2"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5(Ι) του 2006</w:t>
            </w:r>
          </w:p>
          <w:p w14:paraId="2F0354A2"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55(Ι) του 2006</w:t>
            </w:r>
          </w:p>
          <w:p w14:paraId="2DD2A3F1"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136(Ι) του 2006</w:t>
            </w:r>
          </w:p>
          <w:p w14:paraId="04E82D45"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120(Ι) του 2007</w:t>
            </w:r>
          </w:p>
          <w:p w14:paraId="5A1D65F0"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121(Ι) του 2007</w:t>
            </w:r>
          </w:p>
          <w:p w14:paraId="34DC9908"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150(Ι) του 2007</w:t>
            </w:r>
          </w:p>
          <w:p w14:paraId="0DE79084"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165(Ι) του 2007</w:t>
            </w:r>
          </w:p>
          <w:p w14:paraId="079FCBCF"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27(Ι) του 2010</w:t>
            </w:r>
          </w:p>
          <w:p w14:paraId="185A6BFD"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61(Ι) του 2010</w:t>
            </w:r>
          </w:p>
          <w:p w14:paraId="5FED8DB1"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82(Ι) του 2010</w:t>
            </w:r>
          </w:p>
          <w:p w14:paraId="3761B5C3"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lastRenderedPageBreak/>
              <w:t>83(Ι) του 2010</w:t>
            </w:r>
          </w:p>
          <w:p w14:paraId="3A86DA59"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48(Ι) του 2011</w:t>
            </w:r>
          </w:p>
          <w:p w14:paraId="6273605F"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45(Ι) του 2012</w:t>
            </w:r>
          </w:p>
          <w:p w14:paraId="7F4506C2"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155(Ι) του 2013</w:t>
            </w:r>
          </w:p>
          <w:p w14:paraId="1621300C"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110(Ι) του 2014</w:t>
            </w:r>
          </w:p>
          <w:p w14:paraId="123D01AC"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178(Ι) του 2014</w:t>
            </w:r>
          </w:p>
          <w:p w14:paraId="4975D7A2"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180(Ι) του 2014</w:t>
            </w:r>
          </w:p>
          <w:p w14:paraId="48DE4BE0"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41(Ι) του 2015</w:t>
            </w:r>
          </w:p>
          <w:p w14:paraId="1311AB0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48(Ι) του 2015</w:t>
            </w:r>
          </w:p>
          <w:p w14:paraId="27DB703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54(Ι) του 2015</w:t>
            </w:r>
          </w:p>
          <w:p w14:paraId="286D59DB"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15(I) του 2016</w:t>
            </w:r>
          </w:p>
          <w:p w14:paraId="061CF8E9"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66(I) του 2016</w:t>
            </w:r>
          </w:p>
          <w:p w14:paraId="2085A7A9"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67(I) του 2016</w:t>
            </w:r>
          </w:p>
          <w:p w14:paraId="427DCDE5"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32(I) του 2017</w:t>
            </w:r>
          </w:p>
          <w:p w14:paraId="6F509950" w14:textId="77777777" w:rsidR="00C66A4D" w:rsidRPr="00C66A4D" w:rsidRDefault="00C66A4D" w:rsidP="004D6D19">
            <w:pPr>
              <w:spacing w:after="0"/>
              <w:ind w:right="74"/>
              <w:jc w:val="right"/>
              <w:rPr>
                <w:rFonts w:ascii="Arial" w:eastAsia="Times New Roman" w:hAnsi="Arial" w:cs="Arial"/>
                <w:color w:val="000000"/>
                <w:sz w:val="20"/>
                <w:szCs w:val="20"/>
                <w:lang w:eastAsia="el-GR"/>
              </w:rPr>
            </w:pPr>
            <w:r w:rsidRPr="00C66A4D">
              <w:rPr>
                <w:rFonts w:ascii="Arial" w:eastAsia="Times New Roman" w:hAnsi="Arial" w:cs="Arial"/>
                <w:color w:val="000000"/>
                <w:sz w:val="20"/>
                <w:szCs w:val="20"/>
                <w:lang w:eastAsia="el-GR"/>
              </w:rPr>
              <w:t>138(I) του 2017</w:t>
            </w:r>
          </w:p>
          <w:p w14:paraId="02168B13" w14:textId="77777777" w:rsidR="00C66A4D" w:rsidRPr="00A906BD" w:rsidRDefault="00C66A4D" w:rsidP="004D6D19">
            <w:pPr>
              <w:spacing w:after="0"/>
              <w:ind w:right="74"/>
              <w:rPr>
                <w:rFonts w:ascii="Arial" w:eastAsia="Times New Roman" w:hAnsi="Arial" w:cs="Arial"/>
                <w:color w:val="000000"/>
                <w:sz w:val="20"/>
                <w:szCs w:val="20"/>
                <w:lang w:eastAsia="el-GR"/>
              </w:rPr>
            </w:pPr>
            <w:r w:rsidRPr="00A906BD">
              <w:rPr>
                <w:rFonts w:ascii="Arial" w:eastAsia="Times New Roman" w:hAnsi="Arial" w:cs="Arial"/>
                <w:color w:val="000000"/>
                <w:sz w:val="20"/>
                <w:szCs w:val="20"/>
                <w:lang w:eastAsia="el-GR"/>
              </w:rPr>
              <w:t xml:space="preserve">   139(</w:t>
            </w:r>
            <w:r w:rsidRPr="00C66A4D">
              <w:rPr>
                <w:rFonts w:ascii="Arial" w:eastAsia="Times New Roman" w:hAnsi="Arial" w:cs="Arial"/>
                <w:color w:val="000000"/>
                <w:sz w:val="20"/>
                <w:szCs w:val="20"/>
                <w:lang w:eastAsia="el-GR"/>
              </w:rPr>
              <w:t>Ι</w:t>
            </w:r>
            <w:r w:rsidRPr="00A906BD">
              <w:rPr>
                <w:rFonts w:ascii="Arial" w:eastAsia="Times New Roman" w:hAnsi="Arial" w:cs="Arial"/>
                <w:color w:val="000000"/>
                <w:sz w:val="20"/>
                <w:szCs w:val="20"/>
                <w:lang w:eastAsia="el-GR"/>
              </w:rPr>
              <w:t xml:space="preserve">) </w:t>
            </w:r>
            <w:r w:rsidRPr="00C66A4D">
              <w:rPr>
                <w:rFonts w:ascii="Arial" w:eastAsia="Times New Roman" w:hAnsi="Arial" w:cs="Arial"/>
                <w:color w:val="000000"/>
                <w:sz w:val="20"/>
                <w:szCs w:val="20"/>
                <w:lang w:eastAsia="el-GR"/>
              </w:rPr>
              <w:t>του</w:t>
            </w:r>
            <w:r w:rsidRPr="00A906BD">
              <w:rPr>
                <w:rFonts w:ascii="Arial" w:eastAsia="Times New Roman" w:hAnsi="Arial" w:cs="Arial"/>
                <w:color w:val="000000"/>
                <w:sz w:val="20"/>
                <w:szCs w:val="20"/>
                <w:lang w:eastAsia="el-GR"/>
              </w:rPr>
              <w:t xml:space="preserve"> 2017</w:t>
            </w:r>
          </w:p>
          <w:p w14:paraId="35E218DE" w14:textId="77777777" w:rsidR="00D83652" w:rsidRPr="00C7228A" w:rsidRDefault="00C66A4D" w:rsidP="004D6D19">
            <w:pPr>
              <w:spacing w:after="0"/>
              <w:ind w:right="74"/>
              <w:jc w:val="right"/>
              <w:rPr>
                <w:rFonts w:ascii="Arial" w:eastAsia="Times New Roman" w:hAnsi="Arial" w:cs="Arial"/>
                <w:color w:val="000000"/>
                <w:sz w:val="20"/>
                <w:szCs w:val="20"/>
                <w:lang w:eastAsia="el-GR"/>
              </w:rPr>
            </w:pPr>
            <w:r w:rsidRPr="00C7228A">
              <w:rPr>
                <w:rFonts w:ascii="Arial" w:eastAsia="Times New Roman" w:hAnsi="Arial" w:cs="Arial"/>
                <w:color w:val="000000"/>
                <w:sz w:val="20"/>
                <w:szCs w:val="20"/>
                <w:lang w:eastAsia="el-GR"/>
              </w:rPr>
              <w:t>71(</w:t>
            </w:r>
            <w:r w:rsidRPr="00C66A4D">
              <w:rPr>
                <w:rFonts w:ascii="Arial" w:eastAsia="Times New Roman" w:hAnsi="Arial" w:cs="Arial"/>
                <w:color w:val="000000"/>
                <w:sz w:val="20"/>
                <w:szCs w:val="20"/>
                <w:lang w:val="en-GB" w:eastAsia="el-GR"/>
              </w:rPr>
              <w:t>I</w:t>
            </w:r>
            <w:r w:rsidRPr="00C7228A">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του</w:t>
            </w:r>
            <w:r w:rsidR="00D83652" w:rsidRPr="00C7228A">
              <w:rPr>
                <w:rFonts w:ascii="Arial" w:eastAsia="Times New Roman" w:hAnsi="Arial" w:cs="Arial"/>
                <w:color w:val="000000"/>
                <w:sz w:val="20"/>
                <w:szCs w:val="20"/>
                <w:lang w:eastAsia="el-GR"/>
              </w:rPr>
              <w:t>2018</w:t>
            </w:r>
          </w:p>
          <w:p w14:paraId="3DE0C2A2" w14:textId="77777777" w:rsidR="00D83652" w:rsidRPr="00C7228A" w:rsidRDefault="00C66A4D" w:rsidP="004D6D19">
            <w:pPr>
              <w:spacing w:after="0"/>
              <w:ind w:right="74"/>
              <w:jc w:val="right"/>
              <w:rPr>
                <w:rFonts w:ascii="Arial" w:eastAsia="Times New Roman" w:hAnsi="Arial" w:cs="Arial"/>
                <w:color w:val="000000"/>
                <w:sz w:val="20"/>
                <w:szCs w:val="20"/>
                <w:lang w:eastAsia="el-GR"/>
              </w:rPr>
            </w:pPr>
            <w:r w:rsidRPr="00C7228A">
              <w:rPr>
                <w:rFonts w:ascii="Arial" w:eastAsia="Times New Roman" w:hAnsi="Arial" w:cs="Arial"/>
                <w:color w:val="000000"/>
                <w:sz w:val="20"/>
                <w:szCs w:val="20"/>
                <w:lang w:eastAsia="el-GR"/>
              </w:rPr>
              <w:t>78(</w:t>
            </w:r>
            <w:r>
              <w:rPr>
                <w:rFonts w:ascii="Arial" w:eastAsia="Times New Roman" w:hAnsi="Arial" w:cs="Arial"/>
                <w:color w:val="000000"/>
                <w:sz w:val="20"/>
                <w:szCs w:val="20"/>
                <w:lang w:val="en-GB" w:eastAsia="el-GR"/>
              </w:rPr>
              <w:t>I</w:t>
            </w:r>
            <w:r w:rsidRPr="00C7228A">
              <w:rPr>
                <w:rFonts w:ascii="Arial" w:eastAsia="Times New Roman" w:hAnsi="Arial" w:cs="Arial"/>
                <w:color w:val="000000"/>
                <w:sz w:val="20"/>
                <w:szCs w:val="20"/>
                <w:lang w:eastAsia="el-GR"/>
              </w:rPr>
              <w:t xml:space="preserve">) </w:t>
            </w:r>
            <w:r w:rsidR="00781ED9">
              <w:rPr>
                <w:rFonts w:ascii="Arial" w:eastAsia="Times New Roman" w:hAnsi="Arial" w:cs="Arial"/>
                <w:color w:val="000000"/>
                <w:sz w:val="20"/>
                <w:szCs w:val="20"/>
                <w:lang w:eastAsia="el-GR"/>
              </w:rPr>
              <w:t>του</w:t>
            </w:r>
            <w:r w:rsidR="00D83652" w:rsidRPr="00C7228A">
              <w:rPr>
                <w:rFonts w:ascii="Arial" w:eastAsia="Times New Roman" w:hAnsi="Arial" w:cs="Arial"/>
                <w:color w:val="000000"/>
                <w:sz w:val="20"/>
                <w:szCs w:val="20"/>
                <w:lang w:eastAsia="el-GR"/>
              </w:rPr>
              <w:t>2018</w:t>
            </w:r>
          </w:p>
          <w:p w14:paraId="7297A45B" w14:textId="77777777" w:rsidR="00FF031F" w:rsidRPr="00C7228A" w:rsidRDefault="00C66A4D" w:rsidP="004D6D19">
            <w:pPr>
              <w:spacing w:after="0"/>
              <w:ind w:right="74"/>
              <w:jc w:val="right"/>
              <w:rPr>
                <w:rFonts w:ascii="Arial" w:eastAsia="Times New Roman" w:hAnsi="Arial" w:cs="Arial"/>
                <w:color w:val="000000"/>
                <w:sz w:val="20"/>
                <w:szCs w:val="20"/>
                <w:lang w:eastAsia="el-GR"/>
              </w:rPr>
            </w:pPr>
            <w:r w:rsidRPr="00C7228A">
              <w:rPr>
                <w:rFonts w:ascii="Arial" w:eastAsia="Times New Roman" w:hAnsi="Arial" w:cs="Arial"/>
                <w:color w:val="000000"/>
                <w:sz w:val="20"/>
                <w:szCs w:val="20"/>
                <w:lang w:eastAsia="el-GR"/>
              </w:rPr>
              <w:t>79(</w:t>
            </w:r>
            <w:r>
              <w:rPr>
                <w:rFonts w:ascii="Arial" w:eastAsia="Times New Roman" w:hAnsi="Arial" w:cs="Arial"/>
                <w:color w:val="000000"/>
                <w:sz w:val="20"/>
                <w:szCs w:val="20"/>
                <w:lang w:val="en-GB" w:eastAsia="el-GR"/>
              </w:rPr>
              <w:t>I</w:t>
            </w:r>
            <w:r w:rsidRPr="00C7228A">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 xml:space="preserve"> του </w:t>
            </w:r>
            <w:r w:rsidR="00D83652" w:rsidRPr="00C7228A">
              <w:rPr>
                <w:rFonts w:ascii="Arial" w:eastAsia="Times New Roman" w:hAnsi="Arial" w:cs="Arial"/>
                <w:color w:val="000000"/>
                <w:sz w:val="20"/>
                <w:szCs w:val="20"/>
                <w:lang w:eastAsia="el-GR"/>
              </w:rPr>
              <w:t>2018</w:t>
            </w:r>
          </w:p>
          <w:p w14:paraId="3E89194A" w14:textId="77777777" w:rsidR="00FF031F" w:rsidRPr="00C7228A" w:rsidRDefault="00FF031F" w:rsidP="00FF031F">
            <w:pPr>
              <w:spacing w:after="0"/>
              <w:ind w:right="74"/>
              <w:jc w:val="right"/>
              <w:rPr>
                <w:rFonts w:ascii="Arial" w:eastAsia="Times New Roman" w:hAnsi="Arial" w:cs="Arial"/>
                <w:color w:val="000000"/>
                <w:sz w:val="20"/>
                <w:szCs w:val="20"/>
                <w:lang w:eastAsia="el-GR"/>
              </w:rPr>
            </w:pPr>
            <w:r w:rsidRPr="00C7228A">
              <w:rPr>
                <w:rFonts w:ascii="Arial" w:eastAsia="Times New Roman" w:hAnsi="Arial" w:cs="Arial"/>
                <w:color w:val="000000"/>
                <w:sz w:val="20"/>
                <w:szCs w:val="20"/>
                <w:lang w:eastAsia="el-GR"/>
              </w:rPr>
              <w:t>42(</w:t>
            </w:r>
            <w:r w:rsidRPr="00FF031F">
              <w:rPr>
                <w:rFonts w:ascii="Arial" w:eastAsia="Times New Roman" w:hAnsi="Arial" w:cs="Arial"/>
                <w:color w:val="000000"/>
                <w:sz w:val="20"/>
                <w:szCs w:val="20"/>
                <w:lang w:val="en-GB" w:eastAsia="el-GR"/>
              </w:rPr>
              <w:t>I</w:t>
            </w:r>
            <w:r w:rsidRPr="00C7228A">
              <w:rPr>
                <w:rFonts w:ascii="Arial" w:eastAsia="Times New Roman" w:hAnsi="Arial" w:cs="Arial"/>
                <w:color w:val="000000"/>
                <w:sz w:val="20"/>
                <w:szCs w:val="20"/>
                <w:lang w:eastAsia="el-GR"/>
              </w:rPr>
              <w:t>)</w:t>
            </w:r>
            <w:r w:rsidR="00977875">
              <w:rPr>
                <w:rFonts w:ascii="Arial" w:eastAsia="Times New Roman" w:hAnsi="Arial" w:cs="Arial"/>
                <w:color w:val="000000"/>
                <w:sz w:val="20"/>
                <w:szCs w:val="20"/>
                <w:lang w:eastAsia="el-GR"/>
              </w:rPr>
              <w:t xml:space="preserve"> του </w:t>
            </w:r>
            <w:r w:rsidRPr="00C7228A">
              <w:rPr>
                <w:rFonts w:ascii="Arial" w:eastAsia="Times New Roman" w:hAnsi="Arial" w:cs="Arial"/>
                <w:color w:val="000000"/>
                <w:sz w:val="20"/>
                <w:szCs w:val="20"/>
                <w:lang w:eastAsia="el-GR"/>
              </w:rPr>
              <w:t>2019</w:t>
            </w:r>
          </w:p>
          <w:p w14:paraId="7FD25EE2" w14:textId="77777777" w:rsidR="00C678F2" w:rsidRPr="00C7228A" w:rsidRDefault="00FF031F" w:rsidP="00FF031F">
            <w:pPr>
              <w:spacing w:after="0"/>
              <w:ind w:right="74"/>
              <w:jc w:val="right"/>
              <w:rPr>
                <w:rFonts w:ascii="Arial" w:eastAsia="Times New Roman" w:hAnsi="Arial" w:cs="Arial"/>
                <w:color w:val="000000"/>
                <w:sz w:val="20"/>
                <w:szCs w:val="20"/>
                <w:lang w:eastAsia="el-GR"/>
              </w:rPr>
            </w:pPr>
            <w:r w:rsidRPr="00C7228A">
              <w:rPr>
                <w:rFonts w:ascii="Arial" w:eastAsia="Times New Roman" w:hAnsi="Arial" w:cs="Arial"/>
                <w:color w:val="000000"/>
                <w:sz w:val="20"/>
                <w:szCs w:val="20"/>
                <w:lang w:eastAsia="el-GR"/>
              </w:rPr>
              <w:t>43(</w:t>
            </w:r>
            <w:r w:rsidRPr="00FF031F">
              <w:rPr>
                <w:rFonts w:ascii="Arial" w:eastAsia="Times New Roman" w:hAnsi="Arial" w:cs="Arial"/>
                <w:color w:val="000000"/>
                <w:sz w:val="20"/>
                <w:szCs w:val="20"/>
                <w:lang w:val="en-GB" w:eastAsia="el-GR"/>
              </w:rPr>
              <w:t>I</w:t>
            </w:r>
            <w:r w:rsidRPr="00C7228A">
              <w:rPr>
                <w:rFonts w:ascii="Arial" w:eastAsia="Times New Roman" w:hAnsi="Arial" w:cs="Arial"/>
                <w:color w:val="000000"/>
                <w:sz w:val="20"/>
                <w:szCs w:val="20"/>
                <w:lang w:eastAsia="el-GR"/>
              </w:rPr>
              <w:t>)</w:t>
            </w:r>
            <w:r w:rsidR="00977875">
              <w:rPr>
                <w:rFonts w:ascii="Arial" w:eastAsia="Times New Roman" w:hAnsi="Arial" w:cs="Arial"/>
                <w:color w:val="000000"/>
                <w:sz w:val="20"/>
                <w:szCs w:val="20"/>
                <w:lang w:eastAsia="el-GR"/>
              </w:rPr>
              <w:t xml:space="preserve"> του </w:t>
            </w:r>
            <w:r w:rsidRPr="00C7228A">
              <w:rPr>
                <w:rFonts w:ascii="Arial" w:eastAsia="Times New Roman" w:hAnsi="Arial" w:cs="Arial"/>
                <w:color w:val="000000"/>
                <w:sz w:val="20"/>
                <w:szCs w:val="20"/>
                <w:lang w:eastAsia="el-GR"/>
              </w:rPr>
              <w:t>2019</w:t>
            </w:r>
          </w:p>
          <w:p w14:paraId="456B5E29" w14:textId="77777777" w:rsidR="00C7228A" w:rsidRDefault="00C678F2" w:rsidP="00FF031F">
            <w:pPr>
              <w:spacing w:after="0"/>
              <w:ind w:right="74"/>
              <w:jc w:val="right"/>
              <w:rPr>
                <w:rStyle w:val="markedcontent"/>
                <w:rFonts w:ascii="Arial" w:hAnsi="Arial" w:cs="Arial"/>
                <w:sz w:val="20"/>
                <w:szCs w:val="20"/>
              </w:rPr>
            </w:pPr>
            <w:r>
              <w:rPr>
                <w:rStyle w:val="markedcontent"/>
                <w:rFonts w:ascii="Arial" w:hAnsi="Arial" w:cs="Arial"/>
                <w:sz w:val="20"/>
                <w:szCs w:val="20"/>
              </w:rPr>
              <w:t>145(I) του 2019</w:t>
            </w:r>
            <w:r>
              <w:br/>
            </w:r>
            <w:r>
              <w:rPr>
                <w:rStyle w:val="markedcontent"/>
                <w:rFonts w:ascii="Arial" w:hAnsi="Arial" w:cs="Arial"/>
                <w:sz w:val="20"/>
                <w:szCs w:val="20"/>
              </w:rPr>
              <w:t>54(I) του 2021</w:t>
            </w:r>
            <w:r>
              <w:br/>
            </w:r>
            <w:r>
              <w:rPr>
                <w:rStyle w:val="markedcontent"/>
                <w:rFonts w:ascii="Arial" w:hAnsi="Arial" w:cs="Arial"/>
                <w:sz w:val="20"/>
                <w:szCs w:val="20"/>
              </w:rPr>
              <w:t>13</w:t>
            </w:r>
            <w:r w:rsidR="00C7228A">
              <w:rPr>
                <w:rStyle w:val="markedcontent"/>
                <w:rFonts w:ascii="Arial" w:hAnsi="Arial" w:cs="Arial"/>
                <w:sz w:val="20"/>
                <w:szCs w:val="20"/>
              </w:rPr>
              <w:t>0</w:t>
            </w:r>
            <w:r>
              <w:rPr>
                <w:rStyle w:val="markedcontent"/>
                <w:rFonts w:ascii="Arial" w:hAnsi="Arial" w:cs="Arial"/>
                <w:sz w:val="20"/>
                <w:szCs w:val="20"/>
              </w:rPr>
              <w:t>(I) του 2022</w:t>
            </w:r>
          </w:p>
          <w:p w14:paraId="2C9C0AD2" w14:textId="7780376D" w:rsidR="00D83652" w:rsidRPr="00C7228A" w:rsidRDefault="00C7228A" w:rsidP="00FF031F">
            <w:pPr>
              <w:spacing w:after="0"/>
              <w:ind w:right="74"/>
              <w:jc w:val="right"/>
              <w:rPr>
                <w:rFonts w:ascii="Arial" w:eastAsia="Times New Roman" w:hAnsi="Arial" w:cs="Arial"/>
                <w:color w:val="000000"/>
                <w:sz w:val="20"/>
                <w:szCs w:val="20"/>
                <w:lang w:eastAsia="el-GR"/>
              </w:rPr>
            </w:pPr>
            <w:r>
              <w:rPr>
                <w:rStyle w:val="markedcontent"/>
                <w:rFonts w:ascii="Arial" w:hAnsi="Arial" w:cs="Arial"/>
                <w:sz w:val="20"/>
                <w:szCs w:val="20"/>
              </w:rPr>
              <w:t>131(I) του 2022</w:t>
            </w:r>
            <w:r w:rsidR="00D83652" w:rsidRPr="00C7228A">
              <w:rPr>
                <w:rFonts w:ascii="Arial" w:eastAsia="Times New Roman" w:hAnsi="Arial" w:cs="Arial"/>
                <w:color w:val="000000"/>
                <w:sz w:val="20"/>
                <w:szCs w:val="20"/>
                <w:lang w:eastAsia="el-GR"/>
              </w:rPr>
              <w:t>.</w:t>
            </w:r>
          </w:p>
          <w:p w14:paraId="7957D315" w14:textId="77777777" w:rsidR="00CC47A1" w:rsidRPr="00C7228A" w:rsidRDefault="00CC47A1" w:rsidP="00FF031F">
            <w:pPr>
              <w:spacing w:after="0"/>
              <w:ind w:right="74"/>
              <w:jc w:val="right"/>
              <w:rPr>
                <w:rFonts w:ascii="Arial" w:eastAsia="Times New Roman" w:hAnsi="Arial" w:cs="Arial"/>
                <w:color w:val="000000"/>
                <w:sz w:val="20"/>
                <w:szCs w:val="20"/>
                <w:lang w:eastAsia="el-GR"/>
              </w:rPr>
            </w:pPr>
          </w:p>
        </w:tc>
        <w:tc>
          <w:tcPr>
            <w:tcW w:w="7882" w:type="dxa"/>
            <w:gridSpan w:val="4"/>
            <w:shd w:val="clear" w:color="auto" w:fill="auto"/>
            <w:hideMark/>
          </w:tcPr>
          <w:p w14:paraId="3949C0B2" w14:textId="3DE84A0C" w:rsidR="00D83652" w:rsidRPr="00CC47A1" w:rsidRDefault="00D83652" w:rsidP="007F5B2F">
            <w:pPr>
              <w:spacing w:after="0" w:line="360" w:lineRule="auto"/>
              <w:jc w:val="both"/>
              <w:rPr>
                <w:rFonts w:ascii="Arial" w:eastAsia="Times New Roman" w:hAnsi="Arial" w:cs="Arial"/>
                <w:color w:val="000000"/>
                <w:sz w:val="24"/>
                <w:szCs w:val="24"/>
                <w:lang w:eastAsia="el-GR"/>
              </w:rPr>
            </w:pPr>
            <w:r w:rsidRPr="00CC47A1">
              <w:rPr>
                <w:rFonts w:ascii="Arial" w:eastAsia="Times New Roman" w:hAnsi="Arial" w:cs="Arial"/>
                <w:color w:val="000000"/>
                <w:sz w:val="24"/>
                <w:szCs w:val="24"/>
                <w:lang w:eastAsia="el-GR"/>
              </w:rPr>
              <w:lastRenderedPageBreak/>
              <w:t>1. Ο παρών Νόμος θα αναφέρεται ως ο περί Ακίνητης Ιδιοκτησίας (</w:t>
            </w:r>
            <w:proofErr w:type="spellStart"/>
            <w:r w:rsidRPr="00CC47A1">
              <w:rPr>
                <w:rFonts w:ascii="Arial" w:eastAsia="Times New Roman" w:hAnsi="Arial" w:cs="Arial"/>
                <w:color w:val="000000"/>
                <w:sz w:val="24"/>
                <w:szCs w:val="24"/>
                <w:lang w:eastAsia="el-GR"/>
              </w:rPr>
              <w:t>Διακατοχή</w:t>
            </w:r>
            <w:proofErr w:type="spellEnd"/>
            <w:r w:rsidRPr="00CC47A1">
              <w:rPr>
                <w:rFonts w:ascii="Arial" w:eastAsia="Times New Roman" w:hAnsi="Arial" w:cs="Arial"/>
                <w:color w:val="000000"/>
                <w:sz w:val="24"/>
                <w:szCs w:val="24"/>
                <w:lang w:eastAsia="el-GR"/>
              </w:rPr>
              <w:t xml:space="preserve">, Εγγραφή και Εκτίμηση) (Τροποποιητικός) Νόμος του </w:t>
            </w:r>
            <w:r w:rsidR="007F5B2F">
              <w:rPr>
                <w:rFonts w:ascii="Arial" w:eastAsia="Times New Roman" w:hAnsi="Arial" w:cs="Arial"/>
                <w:color w:val="000000"/>
                <w:sz w:val="24"/>
                <w:szCs w:val="24"/>
                <w:lang w:eastAsia="el-GR"/>
              </w:rPr>
              <w:t>202</w:t>
            </w:r>
            <w:r w:rsidR="003902B1">
              <w:rPr>
                <w:rFonts w:ascii="Arial" w:eastAsia="Times New Roman" w:hAnsi="Arial" w:cs="Arial"/>
                <w:color w:val="000000"/>
                <w:sz w:val="24"/>
                <w:szCs w:val="24"/>
                <w:lang w:eastAsia="el-GR"/>
              </w:rPr>
              <w:t>3</w:t>
            </w:r>
            <w:r w:rsidR="002708FE" w:rsidRPr="00CC47A1">
              <w:rPr>
                <w:rFonts w:ascii="Arial" w:eastAsia="Times New Roman" w:hAnsi="Arial" w:cs="Arial"/>
                <w:color w:val="000000"/>
                <w:sz w:val="24"/>
                <w:szCs w:val="24"/>
                <w:lang w:eastAsia="el-GR"/>
              </w:rPr>
              <w:t xml:space="preserve"> </w:t>
            </w:r>
            <w:r w:rsidRPr="00CC47A1">
              <w:rPr>
                <w:rFonts w:ascii="Arial" w:eastAsia="Times New Roman" w:hAnsi="Arial" w:cs="Arial"/>
                <w:color w:val="000000"/>
                <w:sz w:val="24"/>
                <w:szCs w:val="24"/>
                <w:lang w:eastAsia="el-GR"/>
              </w:rPr>
              <w:t xml:space="preserve">και θα διαβάζεται μαζί με </w:t>
            </w:r>
            <w:r w:rsidR="002708FE" w:rsidRPr="00CC47A1">
              <w:rPr>
                <w:rFonts w:ascii="Arial" w:eastAsia="Times New Roman" w:hAnsi="Arial" w:cs="Arial"/>
                <w:color w:val="000000"/>
                <w:sz w:val="24"/>
                <w:szCs w:val="24"/>
                <w:lang w:eastAsia="el-GR"/>
              </w:rPr>
              <w:t xml:space="preserve">τον </w:t>
            </w:r>
            <w:r w:rsidRPr="00CC47A1">
              <w:rPr>
                <w:rFonts w:ascii="Arial" w:eastAsia="Times New Roman" w:hAnsi="Arial" w:cs="Arial"/>
                <w:color w:val="000000"/>
                <w:sz w:val="24"/>
                <w:szCs w:val="24"/>
                <w:lang w:eastAsia="el-GR"/>
              </w:rPr>
              <w:t>περί Ακίνητης Ιδιοκτησίας (</w:t>
            </w:r>
            <w:proofErr w:type="spellStart"/>
            <w:r w:rsidRPr="00CC47A1">
              <w:rPr>
                <w:rFonts w:ascii="Arial" w:eastAsia="Times New Roman" w:hAnsi="Arial" w:cs="Arial"/>
                <w:color w:val="000000"/>
                <w:sz w:val="24"/>
                <w:szCs w:val="24"/>
                <w:lang w:eastAsia="el-GR"/>
              </w:rPr>
              <w:t>Διακατοχή</w:t>
            </w:r>
            <w:proofErr w:type="spellEnd"/>
            <w:r w:rsidRPr="00CC47A1">
              <w:rPr>
                <w:rFonts w:ascii="Arial" w:eastAsia="Times New Roman" w:hAnsi="Arial" w:cs="Arial"/>
                <w:color w:val="000000"/>
                <w:sz w:val="24"/>
                <w:szCs w:val="24"/>
                <w:lang w:eastAsia="el-GR"/>
              </w:rPr>
              <w:t>, Εγγραφή και Εκτίμηση) Νόμο</w:t>
            </w:r>
            <w:r w:rsidR="006F6370" w:rsidRPr="00CC47A1">
              <w:rPr>
                <w:rFonts w:ascii="Arial" w:eastAsia="Times New Roman" w:hAnsi="Arial" w:cs="Arial"/>
                <w:color w:val="000000"/>
                <w:sz w:val="24"/>
                <w:szCs w:val="24"/>
                <w:lang w:eastAsia="el-GR"/>
              </w:rPr>
              <w:t xml:space="preserve"> </w:t>
            </w:r>
            <w:r w:rsidR="002708FE" w:rsidRPr="00CC47A1">
              <w:rPr>
                <w:rFonts w:ascii="Arial" w:eastAsia="Times New Roman" w:hAnsi="Arial" w:cs="Arial"/>
                <w:color w:val="000000"/>
                <w:sz w:val="24"/>
                <w:szCs w:val="24"/>
                <w:lang w:eastAsia="el-GR"/>
              </w:rPr>
              <w:t>(</w:t>
            </w:r>
            <w:r w:rsidRPr="00CC47A1">
              <w:rPr>
                <w:rFonts w:ascii="Arial" w:eastAsia="Times New Roman" w:hAnsi="Arial" w:cs="Arial"/>
                <w:color w:val="000000"/>
                <w:sz w:val="24"/>
                <w:szCs w:val="24"/>
                <w:lang w:eastAsia="el-GR"/>
              </w:rPr>
              <w:t>που στο εξής θα αναφέρ</w:t>
            </w:r>
            <w:r w:rsidR="00A906BD" w:rsidRPr="00CC47A1">
              <w:rPr>
                <w:rFonts w:ascii="Arial" w:eastAsia="Times New Roman" w:hAnsi="Arial" w:cs="Arial"/>
                <w:color w:val="000000"/>
                <w:sz w:val="24"/>
                <w:szCs w:val="24"/>
                <w:lang w:eastAsia="el-GR"/>
              </w:rPr>
              <w:t>ον</w:t>
            </w:r>
            <w:r w:rsidRPr="00CC47A1">
              <w:rPr>
                <w:rFonts w:ascii="Arial" w:eastAsia="Times New Roman" w:hAnsi="Arial" w:cs="Arial"/>
                <w:color w:val="000000"/>
                <w:sz w:val="24"/>
                <w:szCs w:val="24"/>
                <w:lang w:eastAsia="el-GR"/>
              </w:rPr>
              <w:t>ται ως «ο βασικός νόμος»)</w:t>
            </w:r>
            <w:r w:rsidR="00A906BD" w:rsidRPr="00CC47A1">
              <w:rPr>
                <w:rFonts w:ascii="Arial" w:eastAsia="Times New Roman" w:hAnsi="Arial" w:cs="Arial"/>
                <w:color w:val="000000"/>
                <w:sz w:val="24"/>
                <w:szCs w:val="24"/>
                <w:lang w:eastAsia="el-GR"/>
              </w:rPr>
              <w:t>.</w:t>
            </w:r>
          </w:p>
        </w:tc>
      </w:tr>
      <w:tr w:rsidR="009D4880" w:rsidRPr="00CC24B2" w14:paraId="69D5B946" w14:textId="77777777" w:rsidTr="00A517C9">
        <w:trPr>
          <w:trHeight w:val="405"/>
        </w:trPr>
        <w:tc>
          <w:tcPr>
            <w:tcW w:w="1877" w:type="dxa"/>
            <w:gridSpan w:val="2"/>
            <w:shd w:val="clear" w:color="auto" w:fill="auto"/>
          </w:tcPr>
          <w:p w14:paraId="0F81A1B6" w14:textId="77777777" w:rsidR="009D4880" w:rsidRPr="00CC47A1" w:rsidRDefault="009D4880" w:rsidP="00CC47A1">
            <w:pPr>
              <w:spacing w:after="0"/>
              <w:rPr>
                <w:rFonts w:ascii="Arial" w:eastAsia="Times New Roman" w:hAnsi="Arial" w:cs="Arial"/>
                <w:color w:val="000000"/>
                <w:sz w:val="22"/>
                <w:lang w:eastAsia="el-GR"/>
              </w:rPr>
            </w:pPr>
          </w:p>
        </w:tc>
        <w:tc>
          <w:tcPr>
            <w:tcW w:w="7882" w:type="dxa"/>
            <w:gridSpan w:val="4"/>
            <w:shd w:val="clear" w:color="auto" w:fill="auto"/>
          </w:tcPr>
          <w:p w14:paraId="7B2587C0" w14:textId="77777777" w:rsidR="009D4880" w:rsidRPr="009401CF" w:rsidRDefault="009D4880" w:rsidP="00CC47A1">
            <w:pPr>
              <w:spacing w:after="0" w:line="360" w:lineRule="auto"/>
              <w:jc w:val="both"/>
              <w:rPr>
                <w:rFonts w:ascii="Arial" w:eastAsia="Times New Roman" w:hAnsi="Arial" w:cs="Arial"/>
                <w:color w:val="000000"/>
                <w:sz w:val="24"/>
                <w:szCs w:val="24"/>
                <w:lang w:eastAsia="el-GR"/>
              </w:rPr>
            </w:pPr>
          </w:p>
        </w:tc>
      </w:tr>
      <w:tr w:rsidR="00C66A4D" w:rsidRPr="00CC24B2" w14:paraId="488AAA1A" w14:textId="77777777" w:rsidTr="00A517C9">
        <w:trPr>
          <w:trHeight w:val="405"/>
        </w:trPr>
        <w:tc>
          <w:tcPr>
            <w:tcW w:w="1877" w:type="dxa"/>
            <w:gridSpan w:val="2"/>
            <w:shd w:val="clear" w:color="auto" w:fill="auto"/>
          </w:tcPr>
          <w:p w14:paraId="005E7EB3" w14:textId="77777777" w:rsidR="00C66A4D" w:rsidRPr="00CC47A1" w:rsidRDefault="00C66A4D" w:rsidP="00CC47A1">
            <w:pPr>
              <w:spacing w:after="0"/>
              <w:rPr>
                <w:rFonts w:ascii="Arial" w:eastAsia="Times New Roman" w:hAnsi="Arial" w:cs="Arial"/>
                <w:color w:val="000000"/>
                <w:sz w:val="22"/>
                <w:lang w:eastAsia="el-GR"/>
              </w:rPr>
            </w:pPr>
            <w:r w:rsidRPr="00CC47A1">
              <w:rPr>
                <w:rFonts w:ascii="Arial" w:eastAsia="Times New Roman" w:hAnsi="Arial" w:cs="Arial"/>
                <w:color w:val="000000"/>
                <w:sz w:val="22"/>
                <w:lang w:eastAsia="el-GR"/>
              </w:rPr>
              <w:t>Τροποποίηση του άρθρου 51Α του βασικού νόμου.</w:t>
            </w:r>
          </w:p>
        </w:tc>
        <w:tc>
          <w:tcPr>
            <w:tcW w:w="7882" w:type="dxa"/>
            <w:gridSpan w:val="4"/>
            <w:shd w:val="clear" w:color="auto" w:fill="auto"/>
          </w:tcPr>
          <w:p w14:paraId="442F4CCE" w14:textId="77777777" w:rsidR="00C66A4D" w:rsidRPr="009401CF" w:rsidRDefault="00192FE9" w:rsidP="00CC47A1">
            <w:pPr>
              <w:spacing w:after="0" w:line="360" w:lineRule="auto"/>
              <w:jc w:val="both"/>
              <w:rPr>
                <w:rFonts w:ascii="Arial" w:eastAsia="Times New Roman" w:hAnsi="Arial" w:cs="Arial"/>
                <w:color w:val="000000"/>
                <w:sz w:val="24"/>
                <w:szCs w:val="24"/>
                <w:lang w:eastAsia="el-GR"/>
              </w:rPr>
            </w:pPr>
            <w:r w:rsidRPr="009401CF">
              <w:rPr>
                <w:rFonts w:ascii="Arial" w:eastAsia="Times New Roman" w:hAnsi="Arial" w:cs="Arial"/>
                <w:color w:val="000000"/>
                <w:sz w:val="24"/>
                <w:szCs w:val="24"/>
                <w:lang w:eastAsia="el-GR"/>
              </w:rPr>
              <w:t>2</w:t>
            </w:r>
            <w:r w:rsidR="00C66A4D" w:rsidRPr="009401CF">
              <w:rPr>
                <w:rFonts w:ascii="Arial" w:eastAsia="Times New Roman" w:hAnsi="Arial" w:cs="Arial"/>
                <w:color w:val="000000"/>
                <w:sz w:val="24"/>
                <w:szCs w:val="24"/>
                <w:lang w:eastAsia="el-GR"/>
              </w:rPr>
              <w:t>. Το άρθρο 51Α του βασικού νόμου τροποποιείται -</w:t>
            </w:r>
          </w:p>
          <w:p w14:paraId="65A24204" w14:textId="77777777" w:rsidR="00C66A4D" w:rsidRPr="009401CF" w:rsidRDefault="00C66A4D" w:rsidP="00CC47A1">
            <w:pPr>
              <w:spacing w:after="0" w:line="360" w:lineRule="auto"/>
              <w:jc w:val="both"/>
              <w:rPr>
                <w:rFonts w:ascii="Arial" w:eastAsia="Times New Roman" w:hAnsi="Arial" w:cs="Arial"/>
                <w:color w:val="000000"/>
                <w:sz w:val="24"/>
                <w:szCs w:val="24"/>
                <w:lang w:eastAsia="el-GR"/>
              </w:rPr>
            </w:pPr>
          </w:p>
          <w:p w14:paraId="1CCB911C" w14:textId="77777777" w:rsidR="00C66A4D" w:rsidRPr="009401CF" w:rsidRDefault="00C66A4D" w:rsidP="00CC47A1">
            <w:pPr>
              <w:spacing w:after="0" w:line="360" w:lineRule="auto"/>
              <w:jc w:val="both"/>
              <w:rPr>
                <w:rFonts w:ascii="Arial" w:eastAsia="Times New Roman" w:hAnsi="Arial" w:cs="Arial"/>
                <w:color w:val="000000"/>
                <w:sz w:val="24"/>
                <w:szCs w:val="24"/>
                <w:lang w:eastAsia="el-GR"/>
              </w:rPr>
            </w:pPr>
          </w:p>
        </w:tc>
      </w:tr>
      <w:tr w:rsidR="00CC47A1" w:rsidRPr="00CC24B2" w14:paraId="21336E67" w14:textId="77777777" w:rsidTr="00A517C9">
        <w:trPr>
          <w:trHeight w:val="405"/>
        </w:trPr>
        <w:tc>
          <w:tcPr>
            <w:tcW w:w="1877" w:type="dxa"/>
            <w:gridSpan w:val="2"/>
            <w:shd w:val="clear" w:color="auto" w:fill="auto"/>
          </w:tcPr>
          <w:p w14:paraId="0AAC7380" w14:textId="77777777" w:rsidR="00CC47A1" w:rsidRPr="00C66A4D" w:rsidRDefault="00CC47A1" w:rsidP="004D6D19">
            <w:pPr>
              <w:spacing w:after="0"/>
              <w:jc w:val="both"/>
              <w:rPr>
                <w:rFonts w:ascii="Arial" w:eastAsia="Times New Roman" w:hAnsi="Arial" w:cs="Arial"/>
                <w:color w:val="000000"/>
                <w:sz w:val="20"/>
                <w:szCs w:val="20"/>
                <w:lang w:eastAsia="el-GR"/>
              </w:rPr>
            </w:pPr>
          </w:p>
        </w:tc>
        <w:tc>
          <w:tcPr>
            <w:tcW w:w="649" w:type="dxa"/>
            <w:shd w:val="clear" w:color="auto" w:fill="auto"/>
          </w:tcPr>
          <w:p w14:paraId="14D7B6FE" w14:textId="77777777" w:rsidR="00CC47A1" w:rsidRPr="009401CF" w:rsidRDefault="00CC47A1" w:rsidP="00CC47A1">
            <w:pPr>
              <w:spacing w:after="0" w:line="360" w:lineRule="auto"/>
              <w:jc w:val="both"/>
              <w:rPr>
                <w:rFonts w:ascii="Arial" w:eastAsia="Times New Roman" w:hAnsi="Arial" w:cs="Arial"/>
                <w:color w:val="000000"/>
                <w:sz w:val="24"/>
                <w:szCs w:val="24"/>
                <w:lang w:val="en-US" w:eastAsia="el-GR"/>
              </w:rPr>
            </w:pPr>
            <w:r w:rsidRPr="009401CF">
              <w:rPr>
                <w:rFonts w:ascii="Arial" w:eastAsia="Times New Roman" w:hAnsi="Arial" w:cs="Arial"/>
                <w:color w:val="000000"/>
                <w:sz w:val="24"/>
                <w:szCs w:val="24"/>
                <w:lang w:val="en-GB" w:eastAsia="el-GR"/>
              </w:rPr>
              <w:t>(</w:t>
            </w:r>
            <w:r w:rsidRPr="009401CF">
              <w:rPr>
                <w:rFonts w:ascii="Arial" w:eastAsia="Times New Roman" w:hAnsi="Arial" w:cs="Arial"/>
                <w:color w:val="000000"/>
                <w:sz w:val="24"/>
                <w:szCs w:val="24"/>
                <w:lang w:eastAsia="el-GR"/>
              </w:rPr>
              <w:t>α</w:t>
            </w:r>
            <w:r w:rsidRPr="009401CF">
              <w:rPr>
                <w:rFonts w:ascii="Arial" w:eastAsia="Times New Roman" w:hAnsi="Arial" w:cs="Arial"/>
                <w:color w:val="000000"/>
                <w:sz w:val="24"/>
                <w:szCs w:val="24"/>
                <w:lang w:val="en-US" w:eastAsia="el-GR"/>
              </w:rPr>
              <w:t>)</w:t>
            </w:r>
          </w:p>
        </w:tc>
        <w:tc>
          <w:tcPr>
            <w:tcW w:w="7233" w:type="dxa"/>
            <w:gridSpan w:val="3"/>
            <w:tcBorders>
              <w:left w:val="nil"/>
            </w:tcBorders>
            <w:shd w:val="clear" w:color="auto" w:fill="auto"/>
          </w:tcPr>
          <w:p w14:paraId="6CDE24B7" w14:textId="4C49241A" w:rsidR="0059612D" w:rsidRPr="009401CF" w:rsidRDefault="0059612D" w:rsidP="009F230D">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Μ</w:t>
            </w:r>
            <w:r w:rsidR="00CC47A1" w:rsidRPr="009401CF">
              <w:rPr>
                <w:rFonts w:ascii="Arial" w:eastAsia="Times New Roman" w:hAnsi="Arial" w:cs="Arial"/>
                <w:color w:val="000000"/>
                <w:sz w:val="24"/>
                <w:szCs w:val="24"/>
                <w:lang w:eastAsia="el-GR"/>
              </w:rPr>
              <w:t>ε τη</w:t>
            </w:r>
            <w:r w:rsidR="000B069E">
              <w:rPr>
                <w:rFonts w:ascii="Arial" w:eastAsia="Times New Roman" w:hAnsi="Arial" w:cs="Arial"/>
                <w:color w:val="000000"/>
                <w:sz w:val="24"/>
                <w:szCs w:val="24"/>
                <w:lang w:eastAsia="el-GR"/>
              </w:rPr>
              <w:t>ν προσθήκη στην παράγραφο (</w:t>
            </w:r>
            <w:proofErr w:type="spellStart"/>
            <w:r w:rsidR="000B069E">
              <w:rPr>
                <w:rFonts w:ascii="Arial" w:eastAsia="Times New Roman" w:hAnsi="Arial" w:cs="Arial"/>
                <w:color w:val="000000"/>
                <w:sz w:val="24"/>
                <w:szCs w:val="24"/>
                <w:lang w:eastAsia="el-GR"/>
              </w:rPr>
              <w:t>στ</w:t>
            </w:r>
            <w:proofErr w:type="spellEnd"/>
            <w:r w:rsidR="000B069E">
              <w:rPr>
                <w:rFonts w:ascii="Arial" w:eastAsia="Times New Roman" w:hAnsi="Arial" w:cs="Arial"/>
                <w:color w:val="000000"/>
                <w:sz w:val="24"/>
                <w:szCs w:val="24"/>
                <w:lang w:eastAsia="el-GR"/>
              </w:rPr>
              <w:t xml:space="preserve">) του εδαφίου (3) </w:t>
            </w:r>
            <w:r w:rsidR="004827B5">
              <w:rPr>
                <w:rFonts w:ascii="Arial" w:eastAsia="Times New Roman" w:hAnsi="Arial" w:cs="Arial"/>
                <w:color w:val="000000"/>
                <w:sz w:val="24"/>
                <w:szCs w:val="24"/>
                <w:lang w:eastAsia="el-GR"/>
              </w:rPr>
              <w:t xml:space="preserve">αμέσως μετά τη φράση </w:t>
            </w:r>
            <w:r w:rsidR="008614F5">
              <w:rPr>
                <w:rFonts w:ascii="Arial" w:eastAsia="Times New Roman" w:hAnsi="Arial" w:cs="Arial"/>
                <w:color w:val="000000"/>
                <w:sz w:val="24"/>
                <w:szCs w:val="24"/>
                <w:lang w:eastAsia="el-GR"/>
              </w:rPr>
              <w:t>«</w:t>
            </w:r>
            <w:r w:rsidR="008614F5" w:rsidRPr="008614F5">
              <w:rPr>
                <w:rFonts w:ascii="Arial" w:eastAsia="Times New Roman" w:hAnsi="Arial" w:cs="Arial"/>
                <w:color w:val="000000"/>
                <w:sz w:val="24"/>
                <w:szCs w:val="24"/>
                <w:lang w:eastAsia="el-GR"/>
              </w:rPr>
              <w:t>το πιστωτικό ίδρυμα</w:t>
            </w:r>
            <w:r w:rsidR="008614F5">
              <w:rPr>
                <w:rFonts w:ascii="Arial" w:eastAsia="Times New Roman" w:hAnsi="Arial" w:cs="Arial"/>
                <w:color w:val="000000"/>
                <w:sz w:val="24"/>
                <w:szCs w:val="24"/>
                <w:lang w:eastAsia="el-GR"/>
              </w:rPr>
              <w:t>» (δεύτερη γραμμή) της φράσης «</w:t>
            </w:r>
            <w:r w:rsidR="00367B82" w:rsidRPr="00367B82">
              <w:rPr>
                <w:rFonts w:ascii="Arial" w:eastAsia="Times New Roman" w:hAnsi="Arial" w:cs="Arial"/>
                <w:color w:val="000000"/>
                <w:sz w:val="24"/>
                <w:szCs w:val="24"/>
                <w:lang w:eastAsia="el-GR"/>
              </w:rPr>
              <w:t>, είτε λόγω του δειγματοληπτικού ελέγχου στον οποίο προβαίνει ο Διευθυντής, είτε λόγω αιτήματος προς τον Διευθυντή από πρόσωπο για το οποίο έχουν ζητηθεί πληροφορίες που αφορούν την ακίνητη ιδιοκτησία του</w:t>
            </w:r>
            <w:r>
              <w:rPr>
                <w:rFonts w:ascii="Arial" w:eastAsia="Times New Roman" w:hAnsi="Arial" w:cs="Arial"/>
                <w:color w:val="000000"/>
                <w:sz w:val="24"/>
                <w:szCs w:val="24"/>
                <w:lang w:eastAsia="el-GR"/>
              </w:rPr>
              <w:t>,</w:t>
            </w:r>
            <w:r w:rsidR="00367B82">
              <w:rPr>
                <w:rFonts w:ascii="Arial" w:eastAsia="Times New Roman" w:hAnsi="Arial" w:cs="Arial"/>
                <w:color w:val="000000"/>
                <w:sz w:val="24"/>
                <w:szCs w:val="24"/>
                <w:lang w:eastAsia="el-GR"/>
              </w:rPr>
              <w:t>»</w:t>
            </w:r>
            <w:r w:rsidR="00367B82" w:rsidRPr="00F8673D">
              <w:rPr>
                <w:rFonts w:ascii="Arial" w:eastAsia="Times New Roman" w:hAnsi="Arial" w:cs="Arial"/>
                <w:color w:val="000000"/>
                <w:sz w:val="24"/>
                <w:szCs w:val="24"/>
                <w:lang w:eastAsia="el-GR"/>
              </w:rPr>
              <w:t>·</w:t>
            </w:r>
            <w:r w:rsidR="009F230D">
              <w:rPr>
                <w:rFonts w:ascii="Arial" w:eastAsia="Times New Roman" w:hAnsi="Arial" w:cs="Arial"/>
                <w:color w:val="000000"/>
                <w:sz w:val="24"/>
                <w:szCs w:val="24"/>
                <w:lang w:eastAsia="el-GR"/>
              </w:rPr>
              <w:t xml:space="preserve"> και</w:t>
            </w:r>
            <w:r>
              <w:rPr>
                <w:rFonts w:ascii="Arial" w:eastAsia="Times New Roman" w:hAnsi="Arial" w:cs="Arial"/>
                <w:color w:val="000000"/>
                <w:sz w:val="24"/>
                <w:szCs w:val="24"/>
                <w:lang w:eastAsia="el-GR"/>
              </w:rPr>
              <w:t xml:space="preserve">  </w:t>
            </w:r>
          </w:p>
        </w:tc>
      </w:tr>
      <w:tr w:rsidR="009F555E" w:rsidRPr="00CC24B2" w14:paraId="31B6B622" w14:textId="77777777" w:rsidTr="00A517C9">
        <w:trPr>
          <w:trHeight w:val="405"/>
        </w:trPr>
        <w:tc>
          <w:tcPr>
            <w:tcW w:w="1877" w:type="dxa"/>
            <w:gridSpan w:val="2"/>
            <w:shd w:val="clear" w:color="auto" w:fill="auto"/>
          </w:tcPr>
          <w:p w14:paraId="1AE87439" w14:textId="77777777" w:rsidR="009F555E" w:rsidRPr="00C66A4D" w:rsidRDefault="009F555E" w:rsidP="004D6D19">
            <w:pPr>
              <w:spacing w:after="0"/>
              <w:jc w:val="both"/>
              <w:rPr>
                <w:rFonts w:ascii="Arial" w:eastAsia="Times New Roman" w:hAnsi="Arial" w:cs="Arial"/>
                <w:color w:val="000000"/>
                <w:sz w:val="20"/>
                <w:szCs w:val="20"/>
                <w:lang w:eastAsia="el-GR"/>
              </w:rPr>
            </w:pPr>
          </w:p>
        </w:tc>
        <w:tc>
          <w:tcPr>
            <w:tcW w:w="649" w:type="dxa"/>
            <w:shd w:val="clear" w:color="auto" w:fill="auto"/>
          </w:tcPr>
          <w:p w14:paraId="62BF75D0" w14:textId="77777777" w:rsidR="009F555E" w:rsidRPr="009F230D" w:rsidRDefault="009F555E" w:rsidP="00CC47A1">
            <w:pPr>
              <w:spacing w:after="0" w:line="360" w:lineRule="auto"/>
              <w:jc w:val="both"/>
              <w:rPr>
                <w:rFonts w:ascii="Arial" w:eastAsia="Times New Roman" w:hAnsi="Arial" w:cs="Arial"/>
                <w:color w:val="000000"/>
                <w:sz w:val="24"/>
                <w:szCs w:val="24"/>
                <w:lang w:eastAsia="el-GR"/>
              </w:rPr>
            </w:pPr>
          </w:p>
        </w:tc>
        <w:tc>
          <w:tcPr>
            <w:tcW w:w="7233" w:type="dxa"/>
            <w:gridSpan w:val="3"/>
            <w:tcBorders>
              <w:left w:val="nil"/>
            </w:tcBorders>
            <w:shd w:val="clear" w:color="auto" w:fill="auto"/>
          </w:tcPr>
          <w:p w14:paraId="661794DC" w14:textId="77777777" w:rsidR="009F555E" w:rsidRDefault="009F555E" w:rsidP="009F230D">
            <w:pPr>
              <w:spacing w:after="0" w:line="360" w:lineRule="auto"/>
              <w:jc w:val="both"/>
              <w:rPr>
                <w:rFonts w:ascii="Arial" w:eastAsia="Times New Roman" w:hAnsi="Arial" w:cs="Arial"/>
                <w:color w:val="000000"/>
                <w:sz w:val="24"/>
                <w:szCs w:val="24"/>
                <w:lang w:eastAsia="el-GR"/>
              </w:rPr>
            </w:pPr>
          </w:p>
        </w:tc>
      </w:tr>
      <w:tr w:rsidR="00CC47A1" w:rsidRPr="00CC24B2" w14:paraId="57A5AD36" w14:textId="77777777" w:rsidTr="00A517C9">
        <w:trPr>
          <w:trHeight w:val="405"/>
        </w:trPr>
        <w:tc>
          <w:tcPr>
            <w:tcW w:w="1877" w:type="dxa"/>
            <w:gridSpan w:val="2"/>
            <w:shd w:val="clear" w:color="auto" w:fill="auto"/>
          </w:tcPr>
          <w:p w14:paraId="4D1F2AE0" w14:textId="77777777" w:rsidR="00CC47A1" w:rsidRPr="00C66A4D" w:rsidRDefault="00CC47A1" w:rsidP="004D6D19">
            <w:pPr>
              <w:spacing w:after="0"/>
              <w:jc w:val="both"/>
              <w:rPr>
                <w:rFonts w:ascii="Arial" w:eastAsia="Times New Roman" w:hAnsi="Arial" w:cs="Arial"/>
                <w:color w:val="000000"/>
                <w:sz w:val="20"/>
                <w:szCs w:val="20"/>
                <w:lang w:eastAsia="el-GR"/>
              </w:rPr>
            </w:pPr>
          </w:p>
        </w:tc>
        <w:tc>
          <w:tcPr>
            <w:tcW w:w="649" w:type="dxa"/>
            <w:shd w:val="clear" w:color="auto" w:fill="auto"/>
          </w:tcPr>
          <w:p w14:paraId="3FBCBBD3" w14:textId="77777777" w:rsidR="00CC47A1" w:rsidRPr="009401CF" w:rsidRDefault="00CC47A1" w:rsidP="00CC47A1">
            <w:pPr>
              <w:spacing w:after="0" w:line="360" w:lineRule="auto"/>
              <w:jc w:val="both"/>
              <w:rPr>
                <w:rFonts w:ascii="Arial" w:eastAsia="Times New Roman" w:hAnsi="Arial" w:cs="Arial"/>
                <w:color w:val="000000"/>
                <w:sz w:val="24"/>
                <w:szCs w:val="24"/>
                <w:lang w:eastAsia="el-GR"/>
              </w:rPr>
            </w:pPr>
            <w:r w:rsidRPr="009401CF">
              <w:rPr>
                <w:rFonts w:ascii="Arial" w:eastAsia="Times New Roman" w:hAnsi="Arial" w:cs="Arial"/>
                <w:color w:val="000000"/>
                <w:sz w:val="24"/>
                <w:szCs w:val="24"/>
                <w:lang w:eastAsia="el-GR"/>
              </w:rPr>
              <w:t>(β)</w:t>
            </w:r>
          </w:p>
        </w:tc>
        <w:tc>
          <w:tcPr>
            <w:tcW w:w="7233" w:type="dxa"/>
            <w:gridSpan w:val="3"/>
            <w:tcBorders>
              <w:left w:val="nil"/>
            </w:tcBorders>
            <w:shd w:val="clear" w:color="auto" w:fill="auto"/>
          </w:tcPr>
          <w:p w14:paraId="7B85D0BC" w14:textId="5AE3237A" w:rsidR="0059612D" w:rsidRPr="009401CF" w:rsidRDefault="0059612D" w:rsidP="009F230D">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με </w:t>
            </w:r>
            <w:r w:rsidRPr="0059612D">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την</w:t>
            </w:r>
            <w:r w:rsidR="00FC4DB2">
              <w:rPr>
                <w:rFonts w:ascii="Arial" w:eastAsia="Times New Roman" w:hAnsi="Arial" w:cs="Arial"/>
                <w:color w:val="000000"/>
                <w:sz w:val="24"/>
                <w:szCs w:val="24"/>
                <w:lang w:eastAsia="el-GR"/>
              </w:rPr>
              <w:t xml:space="preserve"> </w:t>
            </w:r>
            <w:r w:rsidR="008966C4">
              <w:rPr>
                <w:rFonts w:ascii="Arial" w:eastAsia="Times New Roman" w:hAnsi="Arial" w:cs="Arial"/>
                <w:color w:val="000000"/>
                <w:sz w:val="24"/>
                <w:szCs w:val="24"/>
                <w:lang w:eastAsia="el-GR"/>
              </w:rPr>
              <w:t xml:space="preserve">αντικατάσταση της τελείας στο τέλος της </w:t>
            </w:r>
            <w:proofErr w:type="spellStart"/>
            <w:r w:rsidR="008966C4">
              <w:rPr>
                <w:rFonts w:ascii="Arial" w:eastAsia="Times New Roman" w:hAnsi="Arial" w:cs="Arial"/>
                <w:color w:val="000000"/>
                <w:sz w:val="24"/>
                <w:szCs w:val="24"/>
                <w:lang w:eastAsia="el-GR"/>
              </w:rPr>
              <w:t>υποπαραγράφου</w:t>
            </w:r>
            <w:proofErr w:type="spellEnd"/>
            <w:r w:rsidR="000368F9">
              <w:t xml:space="preserve"> </w:t>
            </w:r>
            <w:r w:rsidR="000368F9" w:rsidRPr="000368F9">
              <w:rPr>
                <w:rFonts w:ascii="Arial" w:eastAsia="Times New Roman" w:hAnsi="Arial" w:cs="Arial"/>
                <w:color w:val="000000"/>
                <w:sz w:val="24"/>
                <w:szCs w:val="24"/>
                <w:lang w:eastAsia="el-GR"/>
              </w:rPr>
              <w:t>(</w:t>
            </w:r>
            <w:proofErr w:type="spellStart"/>
            <w:r w:rsidR="000368F9" w:rsidRPr="000368F9">
              <w:rPr>
                <w:rFonts w:ascii="Arial" w:eastAsia="Times New Roman" w:hAnsi="Arial" w:cs="Arial"/>
                <w:color w:val="000000"/>
                <w:sz w:val="24"/>
                <w:szCs w:val="24"/>
                <w:lang w:eastAsia="el-GR"/>
              </w:rPr>
              <w:t>iv</w:t>
            </w:r>
            <w:proofErr w:type="spellEnd"/>
            <w:r w:rsidR="000368F9" w:rsidRPr="000368F9">
              <w:rPr>
                <w:rFonts w:ascii="Arial" w:eastAsia="Times New Roman" w:hAnsi="Arial" w:cs="Arial"/>
                <w:color w:val="000000"/>
                <w:sz w:val="24"/>
                <w:szCs w:val="24"/>
                <w:lang w:eastAsia="el-GR"/>
              </w:rPr>
              <w:t>)</w:t>
            </w:r>
            <w:r w:rsidR="000368F9">
              <w:rPr>
                <w:rFonts w:ascii="Arial" w:eastAsia="Times New Roman" w:hAnsi="Arial" w:cs="Arial"/>
                <w:color w:val="000000"/>
                <w:sz w:val="24"/>
                <w:szCs w:val="24"/>
                <w:lang w:eastAsia="el-GR"/>
              </w:rPr>
              <w:t xml:space="preserve"> της παραγράφου (β) του εδαφίου (4) με τη λέξη «ή» και την</w:t>
            </w:r>
            <w:r w:rsidR="008966C4">
              <w:rPr>
                <w:rFonts w:ascii="Arial" w:eastAsia="Times New Roman" w:hAnsi="Arial" w:cs="Arial"/>
                <w:color w:val="000000"/>
                <w:sz w:val="24"/>
                <w:szCs w:val="24"/>
                <w:lang w:eastAsia="el-GR"/>
              </w:rPr>
              <w:t xml:space="preserve"> προσθήκη αμέσως μετά </w:t>
            </w:r>
            <w:r w:rsidR="000368F9">
              <w:rPr>
                <w:rFonts w:ascii="Arial" w:eastAsia="Times New Roman" w:hAnsi="Arial" w:cs="Arial"/>
                <w:color w:val="000000"/>
                <w:sz w:val="24"/>
                <w:szCs w:val="24"/>
                <w:lang w:eastAsia="el-GR"/>
              </w:rPr>
              <w:t>της ακόλουθης νέας παραγράφου:</w:t>
            </w:r>
            <w:r>
              <w:rPr>
                <w:rFonts w:ascii="Arial" w:eastAsia="Times New Roman" w:hAnsi="Arial" w:cs="Arial"/>
                <w:color w:val="000000"/>
                <w:sz w:val="24"/>
                <w:szCs w:val="24"/>
                <w:lang w:eastAsia="el-GR"/>
              </w:rPr>
              <w:t xml:space="preserve"> </w:t>
            </w:r>
          </w:p>
        </w:tc>
      </w:tr>
      <w:tr w:rsidR="00100DB3" w:rsidRPr="00CC24B2" w14:paraId="7F8629B5" w14:textId="77777777" w:rsidTr="00A517C9">
        <w:trPr>
          <w:trHeight w:val="405"/>
        </w:trPr>
        <w:tc>
          <w:tcPr>
            <w:tcW w:w="1877" w:type="dxa"/>
            <w:gridSpan w:val="2"/>
            <w:shd w:val="clear" w:color="auto" w:fill="auto"/>
          </w:tcPr>
          <w:p w14:paraId="7837D246" w14:textId="77777777" w:rsidR="00100DB3" w:rsidRPr="00C66A4D" w:rsidRDefault="00100DB3" w:rsidP="004D6D19">
            <w:pPr>
              <w:spacing w:after="0"/>
              <w:jc w:val="both"/>
              <w:rPr>
                <w:rFonts w:ascii="Arial" w:eastAsia="Times New Roman" w:hAnsi="Arial" w:cs="Arial"/>
                <w:color w:val="000000"/>
                <w:sz w:val="20"/>
                <w:szCs w:val="20"/>
                <w:lang w:eastAsia="el-GR"/>
              </w:rPr>
            </w:pPr>
          </w:p>
        </w:tc>
        <w:tc>
          <w:tcPr>
            <w:tcW w:w="649" w:type="dxa"/>
            <w:shd w:val="clear" w:color="auto" w:fill="auto"/>
          </w:tcPr>
          <w:p w14:paraId="108ACB4F" w14:textId="77777777" w:rsidR="00100DB3" w:rsidRPr="009401CF" w:rsidRDefault="00100DB3" w:rsidP="00CC47A1">
            <w:pPr>
              <w:spacing w:after="0" w:line="360" w:lineRule="auto"/>
              <w:jc w:val="both"/>
              <w:rPr>
                <w:rFonts w:ascii="Arial" w:eastAsia="Times New Roman" w:hAnsi="Arial" w:cs="Arial"/>
                <w:color w:val="000000"/>
                <w:sz w:val="24"/>
                <w:szCs w:val="24"/>
                <w:lang w:eastAsia="el-GR"/>
              </w:rPr>
            </w:pPr>
          </w:p>
        </w:tc>
        <w:tc>
          <w:tcPr>
            <w:tcW w:w="7233" w:type="dxa"/>
            <w:gridSpan w:val="3"/>
            <w:tcBorders>
              <w:left w:val="nil"/>
            </w:tcBorders>
            <w:shd w:val="clear" w:color="auto" w:fill="auto"/>
          </w:tcPr>
          <w:p w14:paraId="37A63D30" w14:textId="4ED0615F" w:rsidR="00100DB3" w:rsidRPr="00100DB3" w:rsidRDefault="00100DB3" w:rsidP="009F230D">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«(γ) </w:t>
            </w:r>
            <w:r w:rsidRPr="00100DB3">
              <w:rPr>
                <w:rFonts w:ascii="Arial" w:eastAsia="Times New Roman" w:hAnsi="Arial" w:cs="Arial"/>
                <w:color w:val="000000"/>
                <w:sz w:val="24"/>
                <w:szCs w:val="24"/>
                <w:lang w:eastAsia="el-GR"/>
              </w:rPr>
              <w:t>διαχειρίζεται πιστωτικές διευκολύνσεις, καθότι-</w:t>
            </w:r>
          </w:p>
        </w:tc>
      </w:tr>
      <w:tr w:rsidR="00100DB3" w:rsidRPr="00CC24B2" w14:paraId="7836967F" w14:textId="77777777" w:rsidTr="00A517C9">
        <w:trPr>
          <w:trHeight w:val="405"/>
        </w:trPr>
        <w:tc>
          <w:tcPr>
            <w:tcW w:w="1452" w:type="dxa"/>
            <w:shd w:val="clear" w:color="auto" w:fill="auto"/>
          </w:tcPr>
          <w:p w14:paraId="4D2B4388" w14:textId="77777777" w:rsidR="00100DB3" w:rsidRPr="00C66A4D" w:rsidRDefault="00100DB3" w:rsidP="006D239E">
            <w:pPr>
              <w:spacing w:after="0"/>
              <w:jc w:val="both"/>
              <w:rPr>
                <w:rFonts w:ascii="Arial" w:eastAsia="Times New Roman" w:hAnsi="Arial" w:cs="Arial"/>
                <w:color w:val="000000"/>
                <w:sz w:val="20"/>
                <w:szCs w:val="20"/>
                <w:lang w:eastAsia="el-GR"/>
              </w:rPr>
            </w:pPr>
          </w:p>
        </w:tc>
        <w:tc>
          <w:tcPr>
            <w:tcW w:w="1496" w:type="dxa"/>
            <w:gridSpan w:val="4"/>
            <w:shd w:val="clear" w:color="auto" w:fill="auto"/>
          </w:tcPr>
          <w:p w14:paraId="0FCA9DCA" w14:textId="67682305" w:rsidR="00100DB3" w:rsidRPr="00097874" w:rsidRDefault="00100DB3" w:rsidP="006D239E">
            <w:pPr>
              <w:spacing w:before="100" w:beforeAutospacing="1" w:after="100" w:afterAutospacing="1" w:line="240" w:lineRule="auto"/>
              <w:jc w:val="both"/>
              <w:rPr>
                <w:rFonts w:ascii="Arial" w:eastAsia="Times New Roman" w:hAnsi="Arial" w:cs="Arial"/>
                <w:color w:val="000000"/>
                <w:sz w:val="20"/>
                <w:szCs w:val="20"/>
                <w:lang w:eastAsia="el-GR"/>
              </w:rPr>
            </w:pPr>
            <w:r w:rsidRPr="00097874">
              <w:rPr>
                <w:rFonts w:ascii="Arial" w:eastAsia="Times New Roman" w:hAnsi="Arial" w:cs="Arial"/>
                <w:color w:val="000000"/>
                <w:sz w:val="20"/>
                <w:szCs w:val="20"/>
                <w:lang w:eastAsia="el-GR"/>
              </w:rPr>
              <w:t>…(Ι) του 2023</w:t>
            </w:r>
          </w:p>
        </w:tc>
        <w:tc>
          <w:tcPr>
            <w:tcW w:w="6811" w:type="dxa"/>
            <w:tcBorders>
              <w:left w:val="nil"/>
            </w:tcBorders>
            <w:shd w:val="clear" w:color="auto" w:fill="auto"/>
          </w:tcPr>
          <w:p w14:paraId="6B13F8A4" w14:textId="4855E189" w:rsidR="00100DB3" w:rsidRPr="00100DB3" w:rsidRDefault="00100DB3" w:rsidP="006D239E">
            <w:pPr>
              <w:spacing w:before="100" w:beforeAutospacing="1" w:after="100" w:afterAutospacing="1"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w:t>
            </w:r>
            <w:proofErr w:type="spellStart"/>
            <w:r>
              <w:rPr>
                <w:rFonts w:ascii="Arial" w:eastAsia="Times New Roman" w:hAnsi="Arial" w:cs="Arial"/>
                <w:color w:val="000000"/>
                <w:sz w:val="24"/>
                <w:szCs w:val="24"/>
                <w:lang w:val="en-GB" w:eastAsia="el-GR"/>
              </w:rPr>
              <w:t>i</w:t>
            </w:r>
            <w:proofErr w:type="spellEnd"/>
            <w:r w:rsidRPr="00100DB3">
              <w:rPr>
                <w:rFonts w:ascii="Arial" w:eastAsia="Times New Roman" w:hAnsi="Arial" w:cs="Arial"/>
                <w:color w:val="000000"/>
                <w:sz w:val="24"/>
                <w:szCs w:val="24"/>
                <w:lang w:eastAsia="el-GR"/>
              </w:rPr>
              <w:t xml:space="preserve">) </w:t>
            </w:r>
            <w:r w:rsidRPr="000368F9">
              <w:rPr>
                <w:rFonts w:ascii="Arial" w:eastAsia="Times New Roman" w:hAnsi="Arial" w:cs="Arial"/>
                <w:color w:val="000000"/>
                <w:sz w:val="24"/>
                <w:szCs w:val="24"/>
                <w:lang w:eastAsia="el-GR"/>
              </w:rPr>
              <w:t xml:space="preserve">έχει </w:t>
            </w:r>
            <w:proofErr w:type="spellStart"/>
            <w:r w:rsidRPr="000368F9">
              <w:rPr>
                <w:rFonts w:ascii="Arial" w:eastAsia="Times New Roman" w:hAnsi="Arial" w:cs="Arial"/>
                <w:color w:val="000000"/>
                <w:sz w:val="24"/>
                <w:szCs w:val="24"/>
                <w:lang w:eastAsia="el-GR"/>
              </w:rPr>
              <w:t>αδειοδοτηθεί</w:t>
            </w:r>
            <w:proofErr w:type="spellEnd"/>
            <w:r w:rsidRPr="000368F9">
              <w:rPr>
                <w:rFonts w:ascii="Arial" w:eastAsia="Times New Roman" w:hAnsi="Arial" w:cs="Arial"/>
                <w:color w:val="000000"/>
                <w:sz w:val="24"/>
                <w:szCs w:val="24"/>
                <w:lang w:eastAsia="el-GR"/>
              </w:rPr>
              <w:t xml:space="preserve"> ως διαχειριστής πιστώσεων δυνάμει του περί Διαχειριστών Πιστώσεων και Αγοραστών Πιστώσεων και για Συναφή Θέματα Νόμου</w:t>
            </w:r>
            <w:r w:rsidRPr="00100DB3">
              <w:rPr>
                <w:rFonts w:ascii="Arial" w:eastAsia="Times New Roman" w:hAnsi="Arial" w:cs="Arial"/>
                <w:color w:val="000000"/>
                <w:sz w:val="24"/>
                <w:szCs w:val="24"/>
                <w:lang w:eastAsia="el-GR"/>
              </w:rPr>
              <w:t>· και</w:t>
            </w:r>
          </w:p>
        </w:tc>
      </w:tr>
      <w:tr w:rsidR="00100DB3" w:rsidRPr="00CC24B2" w14:paraId="3FE26069" w14:textId="77777777" w:rsidTr="00A517C9">
        <w:trPr>
          <w:trHeight w:val="405"/>
        </w:trPr>
        <w:tc>
          <w:tcPr>
            <w:tcW w:w="1452" w:type="dxa"/>
            <w:shd w:val="clear" w:color="auto" w:fill="auto"/>
          </w:tcPr>
          <w:p w14:paraId="5BAB2814" w14:textId="77777777" w:rsidR="00100DB3" w:rsidRPr="00C66A4D" w:rsidRDefault="00100DB3" w:rsidP="006D239E">
            <w:pPr>
              <w:spacing w:after="0"/>
              <w:jc w:val="both"/>
              <w:rPr>
                <w:rFonts w:ascii="Arial" w:eastAsia="Times New Roman" w:hAnsi="Arial" w:cs="Arial"/>
                <w:color w:val="000000"/>
                <w:sz w:val="20"/>
                <w:szCs w:val="20"/>
                <w:lang w:eastAsia="el-GR"/>
              </w:rPr>
            </w:pPr>
          </w:p>
        </w:tc>
        <w:tc>
          <w:tcPr>
            <w:tcW w:w="1496" w:type="dxa"/>
            <w:gridSpan w:val="4"/>
            <w:shd w:val="clear" w:color="auto" w:fill="auto"/>
          </w:tcPr>
          <w:p w14:paraId="502D7410" w14:textId="77777777" w:rsidR="00100DB3" w:rsidRPr="00097874" w:rsidRDefault="00100DB3" w:rsidP="006D239E">
            <w:pPr>
              <w:spacing w:before="100" w:beforeAutospacing="1" w:after="100" w:afterAutospacing="1" w:line="240" w:lineRule="auto"/>
              <w:jc w:val="both"/>
              <w:rPr>
                <w:rFonts w:ascii="Arial" w:eastAsia="Times New Roman" w:hAnsi="Arial" w:cs="Arial"/>
                <w:color w:val="000000"/>
                <w:sz w:val="20"/>
                <w:szCs w:val="20"/>
                <w:lang w:eastAsia="el-GR"/>
              </w:rPr>
            </w:pPr>
          </w:p>
        </w:tc>
        <w:tc>
          <w:tcPr>
            <w:tcW w:w="6811" w:type="dxa"/>
            <w:tcBorders>
              <w:left w:val="nil"/>
            </w:tcBorders>
            <w:shd w:val="clear" w:color="auto" w:fill="auto"/>
          </w:tcPr>
          <w:p w14:paraId="7ACA59C2" w14:textId="2ED87E5B" w:rsidR="00100DB3" w:rsidRDefault="00100DB3" w:rsidP="006D239E">
            <w:pPr>
              <w:spacing w:before="100" w:beforeAutospacing="1" w:after="100" w:afterAutospacing="1" w:line="360" w:lineRule="auto"/>
              <w:jc w:val="both"/>
              <w:rPr>
                <w:rFonts w:ascii="Arial" w:eastAsia="Times New Roman" w:hAnsi="Arial" w:cs="Arial"/>
                <w:color w:val="000000"/>
                <w:sz w:val="24"/>
                <w:szCs w:val="24"/>
                <w:lang w:eastAsia="el-GR"/>
              </w:rPr>
            </w:pPr>
            <w:r w:rsidRPr="00100DB3">
              <w:rPr>
                <w:rFonts w:ascii="Arial" w:eastAsia="Times New Roman" w:hAnsi="Arial" w:cs="Arial"/>
                <w:color w:val="000000"/>
                <w:sz w:val="24"/>
                <w:szCs w:val="24"/>
                <w:lang w:eastAsia="el-GR"/>
              </w:rPr>
              <w:t>(</w:t>
            </w:r>
            <w:proofErr w:type="spellStart"/>
            <w:r w:rsidRPr="00100DB3">
              <w:rPr>
                <w:rFonts w:ascii="Arial" w:eastAsia="Times New Roman" w:hAnsi="Arial" w:cs="Arial"/>
                <w:color w:val="000000"/>
                <w:sz w:val="24"/>
                <w:szCs w:val="24"/>
                <w:lang w:eastAsia="el-GR"/>
              </w:rPr>
              <w:t>ii</w:t>
            </w:r>
            <w:proofErr w:type="spellEnd"/>
            <w:r w:rsidRPr="00100DB3">
              <w:rPr>
                <w:rFonts w:ascii="Arial" w:eastAsia="Times New Roman" w:hAnsi="Arial" w:cs="Arial"/>
                <w:color w:val="000000"/>
                <w:sz w:val="24"/>
                <w:szCs w:val="24"/>
                <w:lang w:eastAsia="el-GR"/>
              </w:rPr>
              <w:t xml:space="preserve">) έχει συνάψει, σύμφωνα με τις διατάξεις του άρθρου 12 του περί Διαχειριστών Πιστώσεων και Αγοραστών Πιστώσεων και για Συναφή Θέματα Νόμου, σύμβαση διαχείρισης πιστωτικών διευκολύνσεων, όπως ο όρος αυτός ορίζεται στο άρθρο 2 του εν λόγω </w:t>
            </w:r>
            <w:proofErr w:type="spellStart"/>
            <w:r w:rsidRPr="00100DB3">
              <w:rPr>
                <w:rFonts w:ascii="Arial" w:eastAsia="Times New Roman" w:hAnsi="Arial" w:cs="Arial"/>
                <w:color w:val="000000"/>
                <w:sz w:val="24"/>
                <w:szCs w:val="24"/>
                <w:lang w:eastAsia="el-GR"/>
              </w:rPr>
              <w:t>Nόμου</w:t>
            </w:r>
            <w:proofErr w:type="spellEnd"/>
            <w:r w:rsidRPr="00100DB3">
              <w:rPr>
                <w:rFonts w:ascii="Arial" w:eastAsia="Times New Roman" w:hAnsi="Arial" w:cs="Arial"/>
                <w:color w:val="000000"/>
                <w:sz w:val="24"/>
                <w:szCs w:val="24"/>
                <w:lang w:eastAsia="el-GR"/>
              </w:rPr>
              <w:t>· και</w:t>
            </w:r>
          </w:p>
        </w:tc>
      </w:tr>
      <w:tr w:rsidR="009D4880" w:rsidRPr="00CC24B2" w14:paraId="61395961" w14:textId="77777777" w:rsidTr="00A517C9">
        <w:trPr>
          <w:trHeight w:val="405"/>
        </w:trPr>
        <w:tc>
          <w:tcPr>
            <w:tcW w:w="1452" w:type="dxa"/>
            <w:shd w:val="clear" w:color="auto" w:fill="auto"/>
          </w:tcPr>
          <w:p w14:paraId="3C770D09" w14:textId="77777777" w:rsidR="009D4880" w:rsidRPr="00C66A4D" w:rsidRDefault="009D4880" w:rsidP="006D239E">
            <w:pPr>
              <w:spacing w:after="0"/>
              <w:jc w:val="both"/>
              <w:rPr>
                <w:rFonts w:ascii="Arial" w:eastAsia="Times New Roman" w:hAnsi="Arial" w:cs="Arial"/>
                <w:color w:val="000000"/>
                <w:sz w:val="20"/>
                <w:szCs w:val="20"/>
                <w:lang w:eastAsia="el-GR"/>
              </w:rPr>
            </w:pPr>
          </w:p>
        </w:tc>
        <w:tc>
          <w:tcPr>
            <w:tcW w:w="1496" w:type="dxa"/>
            <w:gridSpan w:val="4"/>
            <w:shd w:val="clear" w:color="auto" w:fill="auto"/>
          </w:tcPr>
          <w:p w14:paraId="1CD214DA" w14:textId="2BF815C6" w:rsidR="009D4880" w:rsidRPr="00097874" w:rsidRDefault="009D4880" w:rsidP="006D239E">
            <w:pPr>
              <w:spacing w:before="100" w:beforeAutospacing="1" w:after="100" w:afterAutospacing="1" w:line="240" w:lineRule="auto"/>
              <w:jc w:val="both"/>
              <w:rPr>
                <w:rFonts w:ascii="Arial" w:eastAsia="Times New Roman" w:hAnsi="Arial" w:cs="Arial"/>
                <w:color w:val="000000"/>
                <w:sz w:val="20"/>
                <w:szCs w:val="20"/>
                <w:lang w:eastAsia="el-GR"/>
              </w:rPr>
            </w:pPr>
          </w:p>
        </w:tc>
        <w:tc>
          <w:tcPr>
            <w:tcW w:w="6811" w:type="dxa"/>
            <w:tcBorders>
              <w:left w:val="nil"/>
            </w:tcBorders>
            <w:shd w:val="clear" w:color="auto" w:fill="auto"/>
          </w:tcPr>
          <w:p w14:paraId="4276C391" w14:textId="597A94F1" w:rsidR="009D4880" w:rsidRDefault="00100DB3" w:rsidP="006D239E">
            <w:pPr>
              <w:spacing w:before="100" w:beforeAutospacing="1" w:after="100" w:afterAutospacing="1" w:line="360" w:lineRule="auto"/>
              <w:jc w:val="both"/>
              <w:rPr>
                <w:rFonts w:ascii="Arial" w:eastAsia="Times New Roman" w:hAnsi="Arial" w:cs="Arial"/>
                <w:color w:val="000000"/>
                <w:sz w:val="24"/>
                <w:szCs w:val="24"/>
                <w:lang w:eastAsia="el-GR"/>
              </w:rPr>
            </w:pPr>
            <w:r w:rsidRPr="00100DB3">
              <w:rPr>
                <w:rFonts w:ascii="Arial" w:eastAsia="Times New Roman" w:hAnsi="Arial" w:cs="Arial"/>
                <w:color w:val="000000"/>
                <w:sz w:val="24"/>
                <w:szCs w:val="24"/>
                <w:lang w:eastAsia="el-GR"/>
              </w:rPr>
              <w:t>(</w:t>
            </w:r>
            <w:proofErr w:type="spellStart"/>
            <w:r w:rsidRPr="00100DB3">
              <w:rPr>
                <w:rFonts w:ascii="Arial" w:eastAsia="Times New Roman" w:hAnsi="Arial" w:cs="Arial"/>
                <w:color w:val="000000"/>
                <w:sz w:val="24"/>
                <w:szCs w:val="24"/>
                <w:lang w:eastAsia="el-GR"/>
              </w:rPr>
              <w:t>iii</w:t>
            </w:r>
            <w:proofErr w:type="spellEnd"/>
            <w:r w:rsidRPr="00100DB3">
              <w:rPr>
                <w:rFonts w:ascii="Arial" w:eastAsia="Times New Roman" w:hAnsi="Arial" w:cs="Arial"/>
                <w:color w:val="000000"/>
                <w:sz w:val="24"/>
                <w:szCs w:val="24"/>
                <w:lang w:eastAsia="el-GR"/>
              </w:rPr>
              <w:t xml:space="preserve">) δραστηριοποιείται, βάσει της σύμβασης διαχείρισης πιστωτικών διευκολύνσεων, στις κατηγορίες που ορίζονται στις παραγράφους (α) ή/και (β) του όρου «δραστηριότητες διαχείρισης πιστώσεων», όπως ο όρος αυτός ορίζεται στο άρθρο 2 </w:t>
            </w:r>
            <w:r>
              <w:rPr>
                <w:rFonts w:ascii="Arial" w:eastAsia="Times New Roman" w:hAnsi="Arial" w:cs="Arial"/>
                <w:color w:val="000000"/>
                <w:sz w:val="24"/>
                <w:szCs w:val="24"/>
                <w:lang w:eastAsia="el-GR"/>
              </w:rPr>
              <w:t>του</w:t>
            </w:r>
            <w:r w:rsidRPr="00100DB3">
              <w:rPr>
                <w:rFonts w:ascii="Arial" w:eastAsia="Times New Roman" w:hAnsi="Arial" w:cs="Arial"/>
                <w:color w:val="000000"/>
                <w:sz w:val="24"/>
                <w:szCs w:val="24"/>
                <w:lang w:eastAsia="el-GR"/>
              </w:rPr>
              <w:t xml:space="preserve"> περί Διαχειριστών Πιστώσεων και Αγοραστών Πιστώσεων και για Συναφή Θέματα Νόμου· και</w:t>
            </w:r>
          </w:p>
        </w:tc>
      </w:tr>
      <w:tr w:rsidR="00100DB3" w:rsidRPr="00CC24B2" w14:paraId="116344A0" w14:textId="77777777" w:rsidTr="00A517C9">
        <w:trPr>
          <w:trHeight w:val="405"/>
        </w:trPr>
        <w:tc>
          <w:tcPr>
            <w:tcW w:w="1452" w:type="dxa"/>
            <w:shd w:val="clear" w:color="auto" w:fill="auto"/>
          </w:tcPr>
          <w:p w14:paraId="66155B9F" w14:textId="77777777" w:rsidR="00100DB3" w:rsidRPr="00C66A4D" w:rsidRDefault="00100DB3" w:rsidP="006D239E">
            <w:pPr>
              <w:spacing w:after="0"/>
              <w:jc w:val="both"/>
              <w:rPr>
                <w:rFonts w:ascii="Arial" w:eastAsia="Times New Roman" w:hAnsi="Arial" w:cs="Arial"/>
                <w:color w:val="000000"/>
                <w:sz w:val="20"/>
                <w:szCs w:val="20"/>
                <w:lang w:eastAsia="el-GR"/>
              </w:rPr>
            </w:pPr>
          </w:p>
        </w:tc>
        <w:tc>
          <w:tcPr>
            <w:tcW w:w="1496" w:type="dxa"/>
            <w:gridSpan w:val="4"/>
            <w:shd w:val="clear" w:color="auto" w:fill="auto"/>
          </w:tcPr>
          <w:p w14:paraId="224622A9" w14:textId="77777777" w:rsidR="00100DB3" w:rsidRDefault="00100DB3" w:rsidP="006D239E">
            <w:pPr>
              <w:spacing w:before="100" w:beforeAutospacing="1" w:after="100" w:afterAutospacing="1" w:line="240" w:lineRule="auto"/>
              <w:jc w:val="both"/>
              <w:rPr>
                <w:rFonts w:ascii="Arial" w:eastAsia="Times New Roman" w:hAnsi="Arial" w:cs="Arial"/>
                <w:color w:val="000000"/>
                <w:sz w:val="20"/>
                <w:szCs w:val="20"/>
                <w:lang w:eastAsia="el-GR"/>
              </w:rPr>
            </w:pPr>
          </w:p>
          <w:p w14:paraId="2DECFB94" w14:textId="77777777" w:rsidR="00BC6823" w:rsidRDefault="00BC6823" w:rsidP="006D239E">
            <w:pPr>
              <w:spacing w:before="100" w:beforeAutospacing="1" w:after="100" w:afterAutospacing="1" w:line="240" w:lineRule="auto"/>
              <w:jc w:val="both"/>
              <w:rPr>
                <w:rFonts w:ascii="Arial" w:eastAsia="Times New Roman" w:hAnsi="Arial" w:cs="Arial"/>
                <w:color w:val="000000"/>
                <w:sz w:val="20"/>
                <w:szCs w:val="20"/>
                <w:lang w:eastAsia="el-GR"/>
              </w:rPr>
            </w:pPr>
          </w:p>
          <w:p w14:paraId="705C4B9A" w14:textId="77777777" w:rsidR="00BC6823" w:rsidRDefault="00BC6823" w:rsidP="006D239E">
            <w:pPr>
              <w:spacing w:before="100" w:beforeAutospacing="1" w:after="100" w:afterAutospacing="1" w:line="240" w:lineRule="auto"/>
              <w:jc w:val="both"/>
              <w:rPr>
                <w:rFonts w:ascii="Arial" w:eastAsia="Times New Roman" w:hAnsi="Arial" w:cs="Arial"/>
                <w:color w:val="000000"/>
                <w:sz w:val="20"/>
                <w:szCs w:val="20"/>
                <w:lang w:eastAsia="el-GR"/>
              </w:rPr>
            </w:pPr>
          </w:p>
          <w:p w14:paraId="1605E711" w14:textId="77777777" w:rsidR="00BC6823" w:rsidRPr="00BC6823" w:rsidRDefault="00BC6823" w:rsidP="00BC6823">
            <w:pPr>
              <w:spacing w:after="0" w:line="240" w:lineRule="auto"/>
              <w:jc w:val="both"/>
              <w:rPr>
                <w:rFonts w:ascii="Arial" w:eastAsia="Times New Roman" w:hAnsi="Arial" w:cs="Arial"/>
                <w:color w:val="000000"/>
                <w:sz w:val="20"/>
                <w:szCs w:val="20"/>
                <w:lang w:eastAsia="el-GR"/>
              </w:rPr>
            </w:pPr>
            <w:r w:rsidRPr="00BC6823">
              <w:rPr>
                <w:rFonts w:ascii="Arial" w:eastAsia="Times New Roman" w:hAnsi="Arial" w:cs="Arial"/>
                <w:color w:val="000000"/>
                <w:sz w:val="20"/>
                <w:szCs w:val="20"/>
                <w:lang w:eastAsia="el-GR"/>
              </w:rPr>
              <w:t xml:space="preserve">Εφημερίδα της ΕΕ: </w:t>
            </w:r>
          </w:p>
          <w:p w14:paraId="7B7E3C1B" w14:textId="77777777" w:rsidR="00BC6823" w:rsidRPr="00BC6823" w:rsidRDefault="00BC6823" w:rsidP="00BC6823">
            <w:pPr>
              <w:spacing w:after="0" w:line="240" w:lineRule="auto"/>
              <w:jc w:val="both"/>
              <w:rPr>
                <w:rFonts w:ascii="Arial" w:eastAsia="Times New Roman" w:hAnsi="Arial" w:cs="Arial"/>
                <w:color w:val="000000"/>
                <w:sz w:val="20"/>
                <w:szCs w:val="20"/>
                <w:lang w:eastAsia="el-GR"/>
              </w:rPr>
            </w:pPr>
            <w:r w:rsidRPr="00BC6823">
              <w:rPr>
                <w:rFonts w:ascii="Arial" w:eastAsia="Times New Roman" w:hAnsi="Arial" w:cs="Arial"/>
                <w:color w:val="000000"/>
                <w:sz w:val="20"/>
                <w:szCs w:val="20"/>
                <w:lang w:eastAsia="el-GR"/>
              </w:rPr>
              <w:t xml:space="preserve">L295, 21.11.2018, </w:t>
            </w:r>
          </w:p>
          <w:p w14:paraId="5C68C85D" w14:textId="34D4DC35" w:rsidR="00BC6823" w:rsidRPr="00097874" w:rsidRDefault="00BC6823" w:rsidP="00BC6823">
            <w:pPr>
              <w:spacing w:after="0" w:line="240" w:lineRule="auto"/>
              <w:jc w:val="both"/>
              <w:rPr>
                <w:rFonts w:ascii="Arial" w:eastAsia="Times New Roman" w:hAnsi="Arial" w:cs="Arial"/>
                <w:color w:val="000000"/>
                <w:sz w:val="20"/>
                <w:szCs w:val="20"/>
                <w:lang w:eastAsia="el-GR"/>
              </w:rPr>
            </w:pPr>
            <w:r w:rsidRPr="00BC6823">
              <w:rPr>
                <w:rFonts w:ascii="Arial" w:eastAsia="Times New Roman" w:hAnsi="Arial" w:cs="Arial"/>
                <w:color w:val="000000"/>
                <w:sz w:val="20"/>
                <w:szCs w:val="20"/>
                <w:lang w:eastAsia="el-GR"/>
              </w:rPr>
              <w:t>σ.39.</w:t>
            </w:r>
          </w:p>
        </w:tc>
        <w:tc>
          <w:tcPr>
            <w:tcW w:w="6811" w:type="dxa"/>
            <w:tcBorders>
              <w:left w:val="nil"/>
            </w:tcBorders>
            <w:shd w:val="clear" w:color="auto" w:fill="auto"/>
          </w:tcPr>
          <w:p w14:paraId="3ADB7D50" w14:textId="6D3CA64E" w:rsidR="00100DB3" w:rsidRPr="00100DB3" w:rsidRDefault="00100DB3" w:rsidP="006D239E">
            <w:pPr>
              <w:spacing w:before="100" w:beforeAutospacing="1" w:after="100" w:afterAutospacing="1" w:line="360" w:lineRule="auto"/>
              <w:jc w:val="both"/>
              <w:rPr>
                <w:rFonts w:ascii="Arial" w:eastAsia="Times New Roman" w:hAnsi="Arial" w:cs="Arial"/>
                <w:color w:val="000000"/>
                <w:sz w:val="24"/>
                <w:szCs w:val="24"/>
                <w:lang w:eastAsia="el-GR"/>
              </w:rPr>
            </w:pPr>
            <w:r w:rsidRPr="00100DB3">
              <w:rPr>
                <w:rFonts w:ascii="Arial" w:eastAsia="Times New Roman" w:hAnsi="Arial" w:cs="Arial"/>
                <w:color w:val="000000"/>
                <w:sz w:val="24"/>
                <w:szCs w:val="24"/>
                <w:lang w:eastAsia="el-GR"/>
              </w:rPr>
              <w:t>(</w:t>
            </w:r>
            <w:proofErr w:type="spellStart"/>
            <w:r w:rsidRPr="00100DB3">
              <w:rPr>
                <w:rFonts w:ascii="Arial" w:eastAsia="Times New Roman" w:hAnsi="Arial" w:cs="Arial"/>
                <w:color w:val="000000"/>
                <w:sz w:val="24"/>
                <w:szCs w:val="24"/>
                <w:lang w:eastAsia="el-GR"/>
              </w:rPr>
              <w:t>iv</w:t>
            </w:r>
            <w:proofErr w:type="spellEnd"/>
            <w:r w:rsidRPr="00100DB3">
              <w:rPr>
                <w:rFonts w:ascii="Arial" w:eastAsia="Times New Roman" w:hAnsi="Arial" w:cs="Arial"/>
                <w:color w:val="000000"/>
                <w:sz w:val="24"/>
                <w:szCs w:val="24"/>
                <w:lang w:eastAsia="el-GR"/>
              </w:rPr>
              <w:t>) έχει συνάψει σύμβαση επεξεργασίας δεδομένων προσωπικού χαρακτήρα, όπως ο όρος αυτός ορίζεται στο άρθρο 2 του εν λόγω Νόμου</w:t>
            </w:r>
            <w:r w:rsidR="00BC6823" w:rsidRPr="00BC6823">
              <w:rPr>
                <w:rFonts w:ascii="Arial" w:eastAsia="Times New Roman" w:hAnsi="Arial" w:cs="Arial"/>
                <w:color w:val="000000"/>
                <w:sz w:val="24"/>
                <w:szCs w:val="24"/>
                <w:lang w:eastAsia="el-GR"/>
              </w:rPr>
              <w:t>,</w:t>
            </w:r>
            <w:r w:rsidR="00BC6823">
              <w:rPr>
                <w:rFonts w:ascii="Arial" w:eastAsia="Times New Roman" w:hAnsi="Arial" w:cs="Arial"/>
                <w:color w:val="000000"/>
                <w:sz w:val="24"/>
                <w:szCs w:val="24"/>
                <w:lang w:eastAsia="el-GR"/>
              </w:rPr>
              <w:t xml:space="preserve"> σε</w:t>
            </w:r>
            <w:r w:rsidR="00BC6823" w:rsidRPr="00BC6823">
              <w:rPr>
                <w:rFonts w:ascii="Arial" w:eastAsia="Times New Roman" w:hAnsi="Arial" w:cs="Arial"/>
                <w:color w:val="000000"/>
                <w:sz w:val="24"/>
                <w:szCs w:val="24"/>
                <w:lang w:eastAsia="el-GR"/>
              </w:rPr>
              <w:t xml:space="preserve"> </w:t>
            </w:r>
            <w:r w:rsidR="00BC6823">
              <w:rPr>
                <w:rFonts w:ascii="Arial" w:eastAsia="Times New Roman" w:hAnsi="Arial" w:cs="Arial"/>
                <w:color w:val="000000"/>
                <w:sz w:val="24"/>
                <w:szCs w:val="24"/>
                <w:lang w:eastAsia="el-GR"/>
              </w:rPr>
              <w:t xml:space="preserve">συμμόρφωση με τις διατάξεις της παραγράφου 3 του άρθρου 28 του </w:t>
            </w:r>
            <w:r w:rsidR="00BC6823" w:rsidRPr="00BC6823">
              <w:rPr>
                <w:rFonts w:ascii="Arial" w:eastAsia="Times New Roman" w:hAnsi="Arial" w:cs="Arial"/>
                <w:color w:val="000000"/>
                <w:sz w:val="24"/>
                <w:szCs w:val="24"/>
                <w:lang w:eastAsia="el-GR"/>
              </w:rPr>
              <w:t>Κανονισμ</w:t>
            </w:r>
            <w:r w:rsidR="00BC6823">
              <w:rPr>
                <w:rFonts w:ascii="Arial" w:eastAsia="Times New Roman" w:hAnsi="Arial" w:cs="Arial"/>
                <w:color w:val="000000"/>
                <w:sz w:val="24"/>
                <w:szCs w:val="24"/>
                <w:lang w:eastAsia="el-GR"/>
              </w:rPr>
              <w:t xml:space="preserve">ού </w:t>
            </w:r>
            <w:r w:rsidR="00BC6823" w:rsidRPr="00BC6823">
              <w:rPr>
                <w:rFonts w:ascii="Arial" w:eastAsia="Times New Roman" w:hAnsi="Arial" w:cs="Arial"/>
                <w:color w:val="000000"/>
                <w:sz w:val="24"/>
                <w:szCs w:val="24"/>
                <w:lang w:eastAsia="el-GR"/>
              </w:rPr>
              <w:t>(ΕΕ) αριθ.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r w:rsidR="00667AEB">
              <w:rPr>
                <w:rFonts w:ascii="Arial" w:eastAsia="Times New Roman" w:hAnsi="Arial" w:cs="Arial"/>
                <w:color w:val="000000"/>
                <w:sz w:val="24"/>
                <w:szCs w:val="24"/>
                <w:lang w:eastAsia="el-GR"/>
              </w:rPr>
              <w:t>:</w:t>
            </w:r>
          </w:p>
        </w:tc>
      </w:tr>
      <w:tr w:rsidR="00667AEB" w:rsidRPr="00CC24B2" w14:paraId="0F7C32B5" w14:textId="77777777" w:rsidTr="00A517C9">
        <w:trPr>
          <w:trHeight w:val="405"/>
        </w:trPr>
        <w:tc>
          <w:tcPr>
            <w:tcW w:w="1452" w:type="dxa"/>
            <w:shd w:val="clear" w:color="auto" w:fill="auto"/>
          </w:tcPr>
          <w:p w14:paraId="0F55EC4D" w14:textId="77777777" w:rsidR="00667AEB" w:rsidRPr="00C66A4D" w:rsidRDefault="00667AEB" w:rsidP="006D239E">
            <w:pPr>
              <w:spacing w:after="0"/>
              <w:jc w:val="both"/>
              <w:rPr>
                <w:rFonts w:ascii="Arial" w:eastAsia="Times New Roman" w:hAnsi="Arial" w:cs="Arial"/>
                <w:color w:val="000000"/>
                <w:sz w:val="20"/>
                <w:szCs w:val="20"/>
                <w:lang w:eastAsia="el-GR"/>
              </w:rPr>
            </w:pPr>
          </w:p>
        </w:tc>
        <w:tc>
          <w:tcPr>
            <w:tcW w:w="1496" w:type="dxa"/>
            <w:gridSpan w:val="4"/>
            <w:shd w:val="clear" w:color="auto" w:fill="auto"/>
          </w:tcPr>
          <w:p w14:paraId="6E570DB7" w14:textId="77777777" w:rsidR="00667AEB" w:rsidRDefault="00667AEB" w:rsidP="006D239E">
            <w:pPr>
              <w:spacing w:before="100" w:beforeAutospacing="1" w:after="100" w:afterAutospacing="1" w:line="240" w:lineRule="auto"/>
              <w:jc w:val="both"/>
              <w:rPr>
                <w:rFonts w:ascii="Arial" w:eastAsia="Times New Roman" w:hAnsi="Arial" w:cs="Arial"/>
                <w:color w:val="000000"/>
                <w:sz w:val="20"/>
                <w:szCs w:val="20"/>
                <w:lang w:eastAsia="el-GR"/>
              </w:rPr>
            </w:pPr>
          </w:p>
        </w:tc>
        <w:tc>
          <w:tcPr>
            <w:tcW w:w="6811" w:type="dxa"/>
            <w:tcBorders>
              <w:left w:val="nil"/>
            </w:tcBorders>
            <w:shd w:val="clear" w:color="auto" w:fill="auto"/>
          </w:tcPr>
          <w:p w14:paraId="1CB60F78" w14:textId="713168EC" w:rsidR="00667AEB" w:rsidRPr="00667AEB" w:rsidRDefault="00667AEB" w:rsidP="006D239E">
            <w:pPr>
              <w:spacing w:before="100" w:beforeAutospacing="1" w:after="100" w:afterAutospacing="1"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Νοείται οι </w:t>
            </w:r>
            <w:proofErr w:type="spellStart"/>
            <w:r>
              <w:rPr>
                <w:rFonts w:ascii="Arial" w:eastAsia="Times New Roman" w:hAnsi="Arial" w:cs="Arial"/>
                <w:color w:val="000000"/>
                <w:sz w:val="24"/>
                <w:szCs w:val="24"/>
                <w:lang w:eastAsia="el-GR"/>
              </w:rPr>
              <w:t>υποπαράγραφοι</w:t>
            </w:r>
            <w:proofErr w:type="spellEnd"/>
            <w:r>
              <w:rPr>
                <w:rFonts w:ascii="Arial" w:eastAsia="Times New Roman" w:hAnsi="Arial" w:cs="Arial"/>
                <w:color w:val="000000"/>
                <w:sz w:val="24"/>
                <w:szCs w:val="24"/>
                <w:lang w:eastAsia="el-GR"/>
              </w:rPr>
              <w:t xml:space="preserve"> </w:t>
            </w:r>
            <w:r w:rsidRPr="00667AEB">
              <w:rPr>
                <w:rFonts w:ascii="Arial" w:eastAsia="Times New Roman" w:hAnsi="Arial" w:cs="Arial"/>
                <w:color w:val="000000"/>
                <w:sz w:val="24"/>
                <w:szCs w:val="24"/>
                <w:lang w:eastAsia="el-GR"/>
              </w:rPr>
              <w:t>(</w:t>
            </w:r>
            <w:proofErr w:type="spellStart"/>
            <w:r w:rsidRPr="00667AEB">
              <w:rPr>
                <w:rFonts w:ascii="Arial" w:eastAsia="Times New Roman" w:hAnsi="Arial" w:cs="Arial"/>
                <w:color w:val="000000"/>
                <w:sz w:val="24"/>
                <w:szCs w:val="24"/>
                <w:lang w:eastAsia="el-GR"/>
              </w:rPr>
              <w:t>ii</w:t>
            </w:r>
            <w:proofErr w:type="spellEnd"/>
            <w:r w:rsidRPr="00667AEB">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και (</w:t>
            </w:r>
            <w:r>
              <w:rPr>
                <w:rFonts w:ascii="Arial" w:eastAsia="Times New Roman" w:hAnsi="Arial" w:cs="Arial"/>
                <w:color w:val="000000"/>
                <w:sz w:val="24"/>
                <w:szCs w:val="24"/>
                <w:lang w:val="en-GB" w:eastAsia="el-GR"/>
              </w:rPr>
              <w:t>iv</w:t>
            </w:r>
            <w:r w:rsidRPr="00667AEB">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δεν τυγχάνουν εφαρμογής στην περίπτωση που αγοραστής πιστώσεων</w:t>
            </w:r>
            <w:r w:rsidR="00B008B0">
              <w:t xml:space="preserve"> </w:t>
            </w:r>
            <w:r w:rsidR="00B008B0" w:rsidRPr="00B008B0">
              <w:rPr>
                <w:rFonts w:ascii="Arial" w:eastAsia="Times New Roman" w:hAnsi="Arial" w:cs="Arial"/>
                <w:color w:val="000000"/>
                <w:sz w:val="24"/>
                <w:szCs w:val="24"/>
                <w:lang w:eastAsia="el-GR"/>
              </w:rPr>
              <w:t xml:space="preserve">όπως ο όρος αυτός ορίζεται στο άρθρο 2 </w:t>
            </w:r>
            <w:r w:rsidR="00B008B0">
              <w:rPr>
                <w:rFonts w:ascii="Arial" w:eastAsia="Times New Roman" w:hAnsi="Arial" w:cs="Arial"/>
                <w:color w:val="000000"/>
                <w:sz w:val="24"/>
                <w:szCs w:val="24"/>
                <w:lang w:eastAsia="el-GR"/>
              </w:rPr>
              <w:t xml:space="preserve">του </w:t>
            </w:r>
            <w:r w:rsidR="00B008B0" w:rsidRPr="00B008B0">
              <w:rPr>
                <w:rFonts w:ascii="Arial" w:eastAsia="Times New Roman" w:hAnsi="Arial" w:cs="Arial"/>
                <w:color w:val="000000"/>
                <w:sz w:val="24"/>
                <w:szCs w:val="24"/>
                <w:lang w:eastAsia="el-GR"/>
              </w:rPr>
              <w:t xml:space="preserve">περί Διαχειριστών Πιστώσεων και Αγοραστών Πιστώσεων και για Συναφή Θέματα Νόμου </w:t>
            </w:r>
            <w:r>
              <w:rPr>
                <w:rFonts w:ascii="Arial" w:eastAsia="Times New Roman" w:hAnsi="Arial" w:cs="Arial"/>
                <w:color w:val="000000"/>
                <w:sz w:val="24"/>
                <w:szCs w:val="24"/>
                <w:lang w:eastAsia="el-GR"/>
              </w:rPr>
              <w:t xml:space="preserve">επιλέξει να διαχειριστεί ο ίδιος τις πιστωτικές διευκολύνσεις που κατέχει και επομένως </w:t>
            </w:r>
            <w:proofErr w:type="spellStart"/>
            <w:r>
              <w:rPr>
                <w:rFonts w:ascii="Arial" w:eastAsia="Times New Roman" w:hAnsi="Arial" w:cs="Arial"/>
                <w:color w:val="000000"/>
                <w:sz w:val="24"/>
                <w:szCs w:val="24"/>
                <w:lang w:eastAsia="el-GR"/>
              </w:rPr>
              <w:t>αδειοδοτείται</w:t>
            </w:r>
            <w:proofErr w:type="spellEnd"/>
            <w:r w:rsidR="00B008B0">
              <w:rPr>
                <w:rFonts w:ascii="Arial" w:eastAsia="Times New Roman" w:hAnsi="Arial" w:cs="Arial"/>
                <w:color w:val="000000"/>
                <w:sz w:val="24"/>
                <w:szCs w:val="24"/>
                <w:lang w:eastAsia="el-GR"/>
              </w:rPr>
              <w:t xml:space="preserve"> για το </w:t>
            </w:r>
            <w:r w:rsidR="00B008B0">
              <w:rPr>
                <w:rFonts w:ascii="Arial" w:eastAsia="Times New Roman" w:hAnsi="Arial" w:cs="Arial"/>
                <w:color w:val="000000"/>
                <w:sz w:val="24"/>
                <w:szCs w:val="24"/>
                <w:lang w:eastAsia="el-GR"/>
              </w:rPr>
              <w:lastRenderedPageBreak/>
              <w:t>σκοπό αυτό</w:t>
            </w:r>
            <w:r>
              <w:rPr>
                <w:rFonts w:ascii="Arial" w:eastAsia="Times New Roman" w:hAnsi="Arial" w:cs="Arial"/>
                <w:color w:val="000000"/>
                <w:sz w:val="24"/>
                <w:szCs w:val="24"/>
                <w:lang w:eastAsia="el-GR"/>
              </w:rPr>
              <w:t xml:space="preserve"> ως διαχειριστής πιστώσεων</w:t>
            </w:r>
            <w:r w:rsidR="00B008B0">
              <w:rPr>
                <w:rFonts w:ascii="Arial" w:eastAsia="Times New Roman" w:hAnsi="Arial" w:cs="Arial"/>
                <w:color w:val="000000"/>
                <w:sz w:val="24"/>
                <w:szCs w:val="24"/>
                <w:lang w:eastAsia="el-GR"/>
              </w:rPr>
              <w:t xml:space="preserve"> δυνάμει του εδαφίου (6) του άρθρου 8</w:t>
            </w:r>
            <w:r w:rsidR="00B008B0">
              <w:t xml:space="preserve"> </w:t>
            </w:r>
            <w:r w:rsidR="00B008B0" w:rsidRPr="00B008B0">
              <w:rPr>
                <w:rFonts w:ascii="Arial" w:eastAsia="Times New Roman" w:hAnsi="Arial" w:cs="Arial"/>
                <w:color w:val="000000"/>
                <w:sz w:val="24"/>
                <w:szCs w:val="24"/>
                <w:lang w:eastAsia="el-GR"/>
              </w:rPr>
              <w:t xml:space="preserve">του εν λόγω </w:t>
            </w:r>
            <w:proofErr w:type="spellStart"/>
            <w:r w:rsidR="00B008B0" w:rsidRPr="00B008B0">
              <w:rPr>
                <w:rFonts w:ascii="Arial" w:eastAsia="Times New Roman" w:hAnsi="Arial" w:cs="Arial"/>
                <w:color w:val="000000"/>
                <w:sz w:val="24"/>
                <w:szCs w:val="24"/>
                <w:lang w:eastAsia="el-GR"/>
              </w:rPr>
              <w:t>Nόμου</w:t>
            </w:r>
            <w:proofErr w:type="spellEnd"/>
            <w:r>
              <w:rPr>
                <w:rFonts w:ascii="Arial" w:eastAsia="Times New Roman" w:hAnsi="Arial" w:cs="Arial"/>
                <w:color w:val="000000"/>
                <w:sz w:val="24"/>
                <w:szCs w:val="24"/>
                <w:lang w:eastAsia="el-GR"/>
              </w:rPr>
              <w:t>.</w:t>
            </w:r>
          </w:p>
        </w:tc>
      </w:tr>
      <w:tr w:rsidR="00A517C9" w:rsidRPr="00CC24B2" w14:paraId="75B6F9D5" w14:textId="77777777" w:rsidTr="00A517C9">
        <w:trPr>
          <w:trHeight w:val="405"/>
        </w:trPr>
        <w:tc>
          <w:tcPr>
            <w:tcW w:w="1877" w:type="dxa"/>
            <w:gridSpan w:val="2"/>
            <w:shd w:val="clear" w:color="auto" w:fill="auto"/>
          </w:tcPr>
          <w:p w14:paraId="14D75863" w14:textId="77777777" w:rsidR="00A517C9" w:rsidRPr="00C66A4D" w:rsidRDefault="00A517C9" w:rsidP="006D239E">
            <w:pPr>
              <w:spacing w:after="0"/>
              <w:jc w:val="both"/>
              <w:rPr>
                <w:rFonts w:ascii="Arial" w:eastAsia="Times New Roman" w:hAnsi="Arial" w:cs="Arial"/>
                <w:color w:val="000000"/>
                <w:sz w:val="20"/>
                <w:szCs w:val="20"/>
                <w:lang w:eastAsia="el-GR"/>
              </w:rPr>
            </w:pPr>
          </w:p>
        </w:tc>
        <w:tc>
          <w:tcPr>
            <w:tcW w:w="709" w:type="dxa"/>
            <w:gridSpan w:val="2"/>
            <w:shd w:val="clear" w:color="auto" w:fill="auto"/>
          </w:tcPr>
          <w:p w14:paraId="246686C3" w14:textId="77777777" w:rsidR="00A517C9" w:rsidRDefault="00A517C9" w:rsidP="006D239E">
            <w:pPr>
              <w:spacing w:before="100" w:beforeAutospacing="1" w:after="100" w:afterAutospacing="1" w:line="240" w:lineRule="auto"/>
              <w:jc w:val="both"/>
              <w:rPr>
                <w:rFonts w:ascii="Arial" w:eastAsia="Times New Roman" w:hAnsi="Arial" w:cs="Arial"/>
                <w:color w:val="000000"/>
                <w:sz w:val="20"/>
                <w:szCs w:val="20"/>
                <w:lang w:eastAsia="el-GR"/>
              </w:rPr>
            </w:pPr>
          </w:p>
        </w:tc>
        <w:tc>
          <w:tcPr>
            <w:tcW w:w="7173" w:type="dxa"/>
            <w:gridSpan w:val="2"/>
            <w:tcBorders>
              <w:left w:val="nil"/>
            </w:tcBorders>
            <w:shd w:val="clear" w:color="auto" w:fill="auto"/>
          </w:tcPr>
          <w:p w14:paraId="0C4CB48B" w14:textId="77777777" w:rsidR="00A517C9" w:rsidRDefault="00A517C9" w:rsidP="006D239E">
            <w:pPr>
              <w:spacing w:before="100" w:beforeAutospacing="1" w:after="100" w:afterAutospacing="1" w:line="360" w:lineRule="auto"/>
              <w:jc w:val="both"/>
              <w:rPr>
                <w:rFonts w:ascii="Arial" w:eastAsia="Times New Roman" w:hAnsi="Arial" w:cs="Arial"/>
                <w:color w:val="000000"/>
                <w:sz w:val="24"/>
                <w:szCs w:val="24"/>
                <w:lang w:eastAsia="el-GR"/>
              </w:rPr>
            </w:pPr>
          </w:p>
        </w:tc>
      </w:tr>
      <w:tr w:rsidR="00A517C9" w:rsidRPr="00CC24B2" w14:paraId="5F9639EB" w14:textId="77777777" w:rsidTr="00A517C9">
        <w:trPr>
          <w:trHeight w:val="405"/>
        </w:trPr>
        <w:tc>
          <w:tcPr>
            <w:tcW w:w="1877" w:type="dxa"/>
            <w:gridSpan w:val="2"/>
            <w:shd w:val="clear" w:color="auto" w:fill="auto"/>
          </w:tcPr>
          <w:p w14:paraId="5FBE3149" w14:textId="77777777" w:rsidR="00A517C9" w:rsidRPr="00C66A4D" w:rsidRDefault="00A517C9" w:rsidP="006D239E">
            <w:pPr>
              <w:spacing w:after="0"/>
              <w:jc w:val="both"/>
              <w:rPr>
                <w:rFonts w:ascii="Arial" w:eastAsia="Times New Roman" w:hAnsi="Arial" w:cs="Arial"/>
                <w:color w:val="000000"/>
                <w:sz w:val="20"/>
                <w:szCs w:val="20"/>
                <w:lang w:eastAsia="el-GR"/>
              </w:rPr>
            </w:pPr>
          </w:p>
        </w:tc>
        <w:tc>
          <w:tcPr>
            <w:tcW w:w="709" w:type="dxa"/>
            <w:gridSpan w:val="2"/>
            <w:shd w:val="clear" w:color="auto" w:fill="auto"/>
          </w:tcPr>
          <w:p w14:paraId="1E75B02A" w14:textId="558BA5E9" w:rsidR="00A517C9" w:rsidRDefault="00A517C9" w:rsidP="006D239E">
            <w:pPr>
              <w:spacing w:before="100" w:beforeAutospacing="1" w:after="100" w:afterAutospacing="1" w:line="240" w:lineRule="auto"/>
              <w:jc w:val="both"/>
              <w:rPr>
                <w:rFonts w:ascii="Arial" w:eastAsia="Times New Roman" w:hAnsi="Arial" w:cs="Arial"/>
                <w:color w:val="000000"/>
                <w:sz w:val="20"/>
                <w:szCs w:val="20"/>
                <w:lang w:eastAsia="el-GR"/>
              </w:rPr>
            </w:pPr>
            <w:r w:rsidRPr="00A517C9">
              <w:rPr>
                <w:rFonts w:ascii="Arial" w:eastAsia="Times New Roman" w:hAnsi="Arial" w:cs="Arial"/>
                <w:color w:val="000000"/>
                <w:sz w:val="24"/>
                <w:szCs w:val="24"/>
                <w:lang w:eastAsia="el-GR"/>
              </w:rPr>
              <w:t>(γ)</w:t>
            </w:r>
          </w:p>
        </w:tc>
        <w:tc>
          <w:tcPr>
            <w:tcW w:w="7173" w:type="dxa"/>
            <w:gridSpan w:val="2"/>
            <w:tcBorders>
              <w:left w:val="nil"/>
            </w:tcBorders>
            <w:shd w:val="clear" w:color="auto" w:fill="auto"/>
          </w:tcPr>
          <w:p w14:paraId="23F3EB4A" w14:textId="3CE8F317" w:rsidR="00A517C9" w:rsidRDefault="00A517C9" w:rsidP="006D239E">
            <w:pPr>
              <w:spacing w:before="100" w:beforeAutospacing="1" w:after="100" w:afterAutospacing="1"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Με την προσθήκη του ακόλουθου νέου εδαφίου (6) μετά το τέλος του εδαφίου (5):</w:t>
            </w:r>
          </w:p>
        </w:tc>
      </w:tr>
      <w:tr w:rsidR="00A517C9" w:rsidRPr="00CC24B2" w14:paraId="2867C6EE" w14:textId="77777777" w:rsidTr="00A517C9">
        <w:trPr>
          <w:trHeight w:val="405"/>
        </w:trPr>
        <w:tc>
          <w:tcPr>
            <w:tcW w:w="1877" w:type="dxa"/>
            <w:gridSpan w:val="2"/>
            <w:shd w:val="clear" w:color="auto" w:fill="auto"/>
          </w:tcPr>
          <w:p w14:paraId="011162BC" w14:textId="77777777" w:rsidR="00A517C9" w:rsidRPr="00C66A4D" w:rsidRDefault="00A517C9" w:rsidP="006D239E">
            <w:pPr>
              <w:spacing w:after="0"/>
              <w:jc w:val="both"/>
              <w:rPr>
                <w:rFonts w:ascii="Arial" w:eastAsia="Times New Roman" w:hAnsi="Arial" w:cs="Arial"/>
                <w:color w:val="000000"/>
                <w:sz w:val="20"/>
                <w:szCs w:val="20"/>
                <w:lang w:eastAsia="el-GR"/>
              </w:rPr>
            </w:pPr>
          </w:p>
        </w:tc>
        <w:tc>
          <w:tcPr>
            <w:tcW w:w="709" w:type="dxa"/>
            <w:gridSpan w:val="2"/>
            <w:shd w:val="clear" w:color="auto" w:fill="auto"/>
          </w:tcPr>
          <w:p w14:paraId="1305743B" w14:textId="77777777" w:rsidR="00A517C9" w:rsidRPr="00A517C9" w:rsidRDefault="00A517C9" w:rsidP="006D239E">
            <w:pPr>
              <w:spacing w:before="100" w:beforeAutospacing="1" w:after="100" w:afterAutospacing="1" w:line="240" w:lineRule="auto"/>
              <w:jc w:val="both"/>
              <w:rPr>
                <w:rFonts w:ascii="Arial" w:eastAsia="Times New Roman" w:hAnsi="Arial" w:cs="Arial"/>
                <w:color w:val="000000"/>
                <w:sz w:val="24"/>
                <w:szCs w:val="24"/>
                <w:lang w:eastAsia="el-GR"/>
              </w:rPr>
            </w:pPr>
          </w:p>
        </w:tc>
        <w:tc>
          <w:tcPr>
            <w:tcW w:w="7173" w:type="dxa"/>
            <w:gridSpan w:val="2"/>
            <w:tcBorders>
              <w:left w:val="nil"/>
            </w:tcBorders>
            <w:shd w:val="clear" w:color="auto" w:fill="auto"/>
          </w:tcPr>
          <w:p w14:paraId="5348BC2C" w14:textId="5247465F" w:rsidR="00A517C9" w:rsidRDefault="00A517C9" w:rsidP="006D239E">
            <w:pPr>
              <w:spacing w:before="100" w:beforeAutospacing="1" w:after="100" w:afterAutospacing="1"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w:t>
            </w:r>
            <w:r w:rsidRPr="00A517C9">
              <w:rPr>
                <w:rFonts w:ascii="Arial" w:eastAsia="Times New Roman" w:hAnsi="Arial" w:cs="Arial"/>
                <w:color w:val="000000"/>
                <w:sz w:val="24"/>
                <w:szCs w:val="24"/>
                <w:lang w:eastAsia="el-GR"/>
              </w:rPr>
              <w:t>Η Κεντρική Τράπεζα της Κύπρου, παραχωρεί την αναφερόμενη στο εδάφιο (4) βεβαίωση μόνο στην περίπτωση που βεβαιωθεί ότι πληρούνται σωρευτικά όλες οι προϋποθέσεις της παραγράφου (α) ή (β) ή (γ) του εδαφίου (4).</w:t>
            </w:r>
            <w:r>
              <w:rPr>
                <w:rFonts w:ascii="Arial" w:eastAsia="Times New Roman" w:hAnsi="Arial" w:cs="Arial"/>
                <w:color w:val="000000"/>
                <w:sz w:val="24"/>
                <w:szCs w:val="24"/>
                <w:lang w:eastAsia="el-GR"/>
              </w:rPr>
              <w:t>».</w:t>
            </w:r>
          </w:p>
        </w:tc>
      </w:tr>
    </w:tbl>
    <w:p w14:paraId="4704D50A" w14:textId="77777777" w:rsidR="009401CF" w:rsidRDefault="009401CF" w:rsidP="00F72039"/>
    <w:sectPr w:rsidR="009401CF" w:rsidSect="00CC47A1">
      <w:headerReference w:type="default" r:id="rId6"/>
      <w:footerReference w:type="default" r:id="rId7"/>
      <w:pgSz w:w="12240" w:h="15840"/>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7D97" w14:textId="77777777" w:rsidR="00CF5B1C" w:rsidRDefault="00CF5B1C" w:rsidP="004D6D19">
      <w:pPr>
        <w:spacing w:after="0" w:line="240" w:lineRule="auto"/>
      </w:pPr>
      <w:r>
        <w:separator/>
      </w:r>
    </w:p>
  </w:endnote>
  <w:endnote w:type="continuationSeparator" w:id="0">
    <w:p w14:paraId="0E0F684B" w14:textId="77777777" w:rsidR="00CF5B1C" w:rsidRDefault="00CF5B1C" w:rsidP="004D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564403"/>
      <w:docPartObj>
        <w:docPartGallery w:val="Page Numbers (Bottom of Page)"/>
        <w:docPartUnique/>
      </w:docPartObj>
    </w:sdtPr>
    <w:sdtEndPr>
      <w:rPr>
        <w:rFonts w:ascii="Arial" w:hAnsi="Arial" w:cs="Arial"/>
        <w:noProof/>
      </w:rPr>
    </w:sdtEndPr>
    <w:sdtContent>
      <w:p w14:paraId="6355EA4D" w14:textId="77777777" w:rsidR="004D6D19" w:rsidRPr="004D6D19" w:rsidRDefault="00C76D38">
        <w:pPr>
          <w:pStyle w:val="Footer"/>
          <w:jc w:val="right"/>
          <w:rPr>
            <w:rFonts w:ascii="Arial" w:hAnsi="Arial" w:cs="Arial"/>
          </w:rPr>
        </w:pPr>
        <w:r w:rsidRPr="004D6D19">
          <w:rPr>
            <w:rFonts w:ascii="Arial" w:hAnsi="Arial" w:cs="Arial"/>
          </w:rPr>
          <w:fldChar w:fldCharType="begin"/>
        </w:r>
        <w:r w:rsidR="004D6D19" w:rsidRPr="004D6D19">
          <w:rPr>
            <w:rFonts w:ascii="Arial" w:hAnsi="Arial" w:cs="Arial"/>
          </w:rPr>
          <w:instrText xml:space="preserve"> PAGE   \* MERGEFORMAT </w:instrText>
        </w:r>
        <w:r w:rsidRPr="004D6D19">
          <w:rPr>
            <w:rFonts w:ascii="Arial" w:hAnsi="Arial" w:cs="Arial"/>
          </w:rPr>
          <w:fldChar w:fldCharType="separate"/>
        </w:r>
        <w:r w:rsidR="007235B0">
          <w:rPr>
            <w:rFonts w:ascii="Arial" w:hAnsi="Arial" w:cs="Arial"/>
            <w:noProof/>
          </w:rPr>
          <w:t>4</w:t>
        </w:r>
        <w:r w:rsidRPr="004D6D19">
          <w:rPr>
            <w:rFonts w:ascii="Arial" w:hAnsi="Arial" w:cs="Arial"/>
            <w:noProof/>
          </w:rPr>
          <w:fldChar w:fldCharType="end"/>
        </w:r>
      </w:p>
    </w:sdtContent>
  </w:sdt>
  <w:p w14:paraId="720A7911" w14:textId="77777777" w:rsidR="004D6D19" w:rsidRDefault="004D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4300" w14:textId="77777777" w:rsidR="00CF5B1C" w:rsidRDefault="00CF5B1C" w:rsidP="004D6D19">
      <w:pPr>
        <w:spacing w:after="0" w:line="240" w:lineRule="auto"/>
      </w:pPr>
      <w:r>
        <w:separator/>
      </w:r>
    </w:p>
  </w:footnote>
  <w:footnote w:type="continuationSeparator" w:id="0">
    <w:p w14:paraId="50DC691C" w14:textId="77777777" w:rsidR="00CF5B1C" w:rsidRDefault="00CF5B1C" w:rsidP="004D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07990"/>
      <w:docPartObj>
        <w:docPartGallery w:val="Page Numbers (Top of Page)"/>
        <w:docPartUnique/>
      </w:docPartObj>
    </w:sdtPr>
    <w:sdtEndPr>
      <w:rPr>
        <w:noProof/>
      </w:rPr>
    </w:sdtEndPr>
    <w:sdtContent>
      <w:p w14:paraId="2D538D6D" w14:textId="77777777" w:rsidR="00CC47A1" w:rsidRDefault="00CC47A1">
        <w:pPr>
          <w:pStyle w:val="Header"/>
          <w:jc w:val="center"/>
        </w:pPr>
        <w:r>
          <w:fldChar w:fldCharType="begin"/>
        </w:r>
        <w:r>
          <w:instrText xml:space="preserve"> PAGE   \* MERGEFORMAT </w:instrText>
        </w:r>
        <w:r>
          <w:fldChar w:fldCharType="separate"/>
        </w:r>
        <w:r w:rsidR="007235B0">
          <w:rPr>
            <w:noProof/>
          </w:rPr>
          <w:t>4</w:t>
        </w:r>
        <w:r>
          <w:rPr>
            <w:noProof/>
          </w:rPr>
          <w:fldChar w:fldCharType="end"/>
        </w:r>
      </w:p>
    </w:sdtContent>
  </w:sdt>
  <w:p w14:paraId="79655DDE" w14:textId="77777777" w:rsidR="00CC47A1" w:rsidRDefault="00CC4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52"/>
    <w:rsid w:val="00011AFF"/>
    <w:rsid w:val="0001759F"/>
    <w:rsid w:val="000266CE"/>
    <w:rsid w:val="000368F9"/>
    <w:rsid w:val="00050E33"/>
    <w:rsid w:val="000749EA"/>
    <w:rsid w:val="00085846"/>
    <w:rsid w:val="00097874"/>
    <w:rsid w:val="000A232C"/>
    <w:rsid w:val="000B069E"/>
    <w:rsid w:val="000C6023"/>
    <w:rsid w:val="000D7EDF"/>
    <w:rsid w:val="000E3117"/>
    <w:rsid w:val="000F544A"/>
    <w:rsid w:val="00100DB3"/>
    <w:rsid w:val="00124567"/>
    <w:rsid w:val="0014179D"/>
    <w:rsid w:val="00163B48"/>
    <w:rsid w:val="00192FE9"/>
    <w:rsid w:val="001A3B82"/>
    <w:rsid w:val="001B3F94"/>
    <w:rsid w:val="001D0CC7"/>
    <w:rsid w:val="001D3F79"/>
    <w:rsid w:val="001D5446"/>
    <w:rsid w:val="001F4CA8"/>
    <w:rsid w:val="002130A8"/>
    <w:rsid w:val="00213EDC"/>
    <w:rsid w:val="00216585"/>
    <w:rsid w:val="00217FD9"/>
    <w:rsid w:val="0022626F"/>
    <w:rsid w:val="00231F22"/>
    <w:rsid w:val="0024065D"/>
    <w:rsid w:val="002469D2"/>
    <w:rsid w:val="0026105A"/>
    <w:rsid w:val="0026549E"/>
    <w:rsid w:val="002708FE"/>
    <w:rsid w:val="0029237F"/>
    <w:rsid w:val="00294569"/>
    <w:rsid w:val="00295C7C"/>
    <w:rsid w:val="002A0DAE"/>
    <w:rsid w:val="002B1B9C"/>
    <w:rsid w:val="002B3944"/>
    <w:rsid w:val="002D676D"/>
    <w:rsid w:val="002E1690"/>
    <w:rsid w:val="002F30A3"/>
    <w:rsid w:val="002F4D04"/>
    <w:rsid w:val="00346833"/>
    <w:rsid w:val="003508E8"/>
    <w:rsid w:val="00350DD1"/>
    <w:rsid w:val="00353FFC"/>
    <w:rsid w:val="003561E8"/>
    <w:rsid w:val="00366E2C"/>
    <w:rsid w:val="00367B82"/>
    <w:rsid w:val="003902B1"/>
    <w:rsid w:val="003A2C3E"/>
    <w:rsid w:val="003B19BA"/>
    <w:rsid w:val="003C1472"/>
    <w:rsid w:val="003D000D"/>
    <w:rsid w:val="003D4409"/>
    <w:rsid w:val="003D666B"/>
    <w:rsid w:val="003D7313"/>
    <w:rsid w:val="003E6656"/>
    <w:rsid w:val="003F6C00"/>
    <w:rsid w:val="00400C36"/>
    <w:rsid w:val="0040337E"/>
    <w:rsid w:val="004126A0"/>
    <w:rsid w:val="00423983"/>
    <w:rsid w:val="0042616A"/>
    <w:rsid w:val="0043240A"/>
    <w:rsid w:val="00444B83"/>
    <w:rsid w:val="00466926"/>
    <w:rsid w:val="00467EC8"/>
    <w:rsid w:val="004827B5"/>
    <w:rsid w:val="00491722"/>
    <w:rsid w:val="00494A2F"/>
    <w:rsid w:val="00496150"/>
    <w:rsid w:val="00496BBF"/>
    <w:rsid w:val="0049701C"/>
    <w:rsid w:val="00497E3E"/>
    <w:rsid w:val="004D6D19"/>
    <w:rsid w:val="004E0BB4"/>
    <w:rsid w:val="004E16A3"/>
    <w:rsid w:val="004E2552"/>
    <w:rsid w:val="004F67AC"/>
    <w:rsid w:val="00507126"/>
    <w:rsid w:val="00523F7F"/>
    <w:rsid w:val="00555007"/>
    <w:rsid w:val="0055723D"/>
    <w:rsid w:val="005710D4"/>
    <w:rsid w:val="00573CB2"/>
    <w:rsid w:val="00582548"/>
    <w:rsid w:val="00582D54"/>
    <w:rsid w:val="0059612D"/>
    <w:rsid w:val="005A2FAC"/>
    <w:rsid w:val="0063085C"/>
    <w:rsid w:val="0063517C"/>
    <w:rsid w:val="00667AEB"/>
    <w:rsid w:val="00672983"/>
    <w:rsid w:val="00677D35"/>
    <w:rsid w:val="006A1F08"/>
    <w:rsid w:val="006A4699"/>
    <w:rsid w:val="006A4BBE"/>
    <w:rsid w:val="006D239E"/>
    <w:rsid w:val="006D4EC4"/>
    <w:rsid w:val="006F6370"/>
    <w:rsid w:val="006F6E9B"/>
    <w:rsid w:val="006F6FB8"/>
    <w:rsid w:val="007235B0"/>
    <w:rsid w:val="007516ED"/>
    <w:rsid w:val="00764B75"/>
    <w:rsid w:val="00767C71"/>
    <w:rsid w:val="00781ED9"/>
    <w:rsid w:val="00782F69"/>
    <w:rsid w:val="007A18BD"/>
    <w:rsid w:val="007C77A1"/>
    <w:rsid w:val="007E1772"/>
    <w:rsid w:val="007E788F"/>
    <w:rsid w:val="007F5B2F"/>
    <w:rsid w:val="008004A0"/>
    <w:rsid w:val="0080561F"/>
    <w:rsid w:val="00820CED"/>
    <w:rsid w:val="0083400F"/>
    <w:rsid w:val="00840D1C"/>
    <w:rsid w:val="00856C4E"/>
    <w:rsid w:val="008608C2"/>
    <w:rsid w:val="008614F5"/>
    <w:rsid w:val="00890952"/>
    <w:rsid w:val="00894123"/>
    <w:rsid w:val="008941BD"/>
    <w:rsid w:val="008966C4"/>
    <w:rsid w:val="008A540F"/>
    <w:rsid w:val="008E0BC4"/>
    <w:rsid w:val="008F2FE5"/>
    <w:rsid w:val="008F3DD6"/>
    <w:rsid w:val="009060F2"/>
    <w:rsid w:val="0093231A"/>
    <w:rsid w:val="00934A75"/>
    <w:rsid w:val="009401CF"/>
    <w:rsid w:val="0095138B"/>
    <w:rsid w:val="00954040"/>
    <w:rsid w:val="00957CA2"/>
    <w:rsid w:val="00977875"/>
    <w:rsid w:val="009953E7"/>
    <w:rsid w:val="009A2998"/>
    <w:rsid w:val="009C0DD9"/>
    <w:rsid w:val="009D4880"/>
    <w:rsid w:val="009E74AC"/>
    <w:rsid w:val="009F1FAF"/>
    <w:rsid w:val="009F230D"/>
    <w:rsid w:val="009F555E"/>
    <w:rsid w:val="00A03369"/>
    <w:rsid w:val="00A10088"/>
    <w:rsid w:val="00A379F2"/>
    <w:rsid w:val="00A51241"/>
    <w:rsid w:val="00A517C9"/>
    <w:rsid w:val="00A617F8"/>
    <w:rsid w:val="00A637EE"/>
    <w:rsid w:val="00A776E9"/>
    <w:rsid w:val="00A80798"/>
    <w:rsid w:val="00A906BD"/>
    <w:rsid w:val="00AA7727"/>
    <w:rsid w:val="00AB1EAA"/>
    <w:rsid w:val="00AC1A16"/>
    <w:rsid w:val="00AE3F68"/>
    <w:rsid w:val="00AE7C2E"/>
    <w:rsid w:val="00B008B0"/>
    <w:rsid w:val="00B06C49"/>
    <w:rsid w:val="00B1060F"/>
    <w:rsid w:val="00B3751A"/>
    <w:rsid w:val="00B37897"/>
    <w:rsid w:val="00B40C61"/>
    <w:rsid w:val="00B412C9"/>
    <w:rsid w:val="00B63F01"/>
    <w:rsid w:val="00B7044E"/>
    <w:rsid w:val="00B77076"/>
    <w:rsid w:val="00B81325"/>
    <w:rsid w:val="00B833C6"/>
    <w:rsid w:val="00BB05C1"/>
    <w:rsid w:val="00BC6823"/>
    <w:rsid w:val="00BD03D3"/>
    <w:rsid w:val="00BD1A8F"/>
    <w:rsid w:val="00BF4700"/>
    <w:rsid w:val="00C041A8"/>
    <w:rsid w:val="00C241B8"/>
    <w:rsid w:val="00C31CAA"/>
    <w:rsid w:val="00C5059A"/>
    <w:rsid w:val="00C66A4D"/>
    <w:rsid w:val="00C678F2"/>
    <w:rsid w:val="00C702EE"/>
    <w:rsid w:val="00C7228A"/>
    <w:rsid w:val="00C76D38"/>
    <w:rsid w:val="00C9587A"/>
    <w:rsid w:val="00CC47A1"/>
    <w:rsid w:val="00CE704B"/>
    <w:rsid w:val="00CF38B1"/>
    <w:rsid w:val="00CF4F21"/>
    <w:rsid w:val="00CF5B1C"/>
    <w:rsid w:val="00D01810"/>
    <w:rsid w:val="00D02954"/>
    <w:rsid w:val="00D076DE"/>
    <w:rsid w:val="00D15131"/>
    <w:rsid w:val="00D4617A"/>
    <w:rsid w:val="00D61A7B"/>
    <w:rsid w:val="00D70B50"/>
    <w:rsid w:val="00D83652"/>
    <w:rsid w:val="00D92A19"/>
    <w:rsid w:val="00DB1BAA"/>
    <w:rsid w:val="00DE2162"/>
    <w:rsid w:val="00DE3AEF"/>
    <w:rsid w:val="00DF2F34"/>
    <w:rsid w:val="00E03C25"/>
    <w:rsid w:val="00E221B8"/>
    <w:rsid w:val="00E32ADF"/>
    <w:rsid w:val="00E339E4"/>
    <w:rsid w:val="00E55F91"/>
    <w:rsid w:val="00E61042"/>
    <w:rsid w:val="00E82EBB"/>
    <w:rsid w:val="00E97DF6"/>
    <w:rsid w:val="00EA07F3"/>
    <w:rsid w:val="00EB6AC4"/>
    <w:rsid w:val="00EC15ED"/>
    <w:rsid w:val="00EC25B5"/>
    <w:rsid w:val="00EC6879"/>
    <w:rsid w:val="00F0182D"/>
    <w:rsid w:val="00F01F90"/>
    <w:rsid w:val="00F07B7E"/>
    <w:rsid w:val="00F30F20"/>
    <w:rsid w:val="00F474D5"/>
    <w:rsid w:val="00F72039"/>
    <w:rsid w:val="00F86AC2"/>
    <w:rsid w:val="00F91F42"/>
    <w:rsid w:val="00FB59FF"/>
    <w:rsid w:val="00FB7F8B"/>
    <w:rsid w:val="00FC4DB2"/>
    <w:rsid w:val="00FE1416"/>
    <w:rsid w:val="00FF031F"/>
    <w:rsid w:val="00FF2D6A"/>
    <w:rsid w:val="00FF7A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BD3C"/>
  <w15:docId w15:val="{993ABA3B-5C46-4A1B-89D7-8349F628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52"/>
    <w:pPr>
      <w:spacing w:after="200" w:line="276" w:lineRule="auto"/>
    </w:pPr>
    <w:rPr>
      <w:rFonts w:ascii="Tahoma" w:eastAsia="Calibri" w:hAnsi="Tahoma"/>
      <w:sz w:val="18"/>
      <w:szCs w:val="22"/>
      <w:lang w:val="el-GR"/>
    </w:rPr>
  </w:style>
  <w:style w:type="paragraph" w:styleId="Heading1">
    <w:name w:val="heading 1"/>
    <w:basedOn w:val="Normal"/>
    <w:link w:val="Heading1Char"/>
    <w:uiPriority w:val="9"/>
    <w:qFormat/>
    <w:rsid w:val="00EB6AC4"/>
    <w:pPr>
      <w:spacing w:before="100" w:after="100" w:line="240" w:lineRule="auto"/>
      <w:ind w:left="300" w:right="300"/>
      <w:outlineLvl w:val="0"/>
    </w:pPr>
    <w:rPr>
      <w:rFonts w:ascii="Times New Roman" w:hAnsi="Times New Roman"/>
      <w:b/>
      <w:bCs/>
      <w:color w:val="757D8D"/>
      <w:kern w:val="36"/>
      <w:sz w:val="26"/>
      <w:szCs w:val="26"/>
      <w:lang w:val="en-US"/>
    </w:rPr>
  </w:style>
  <w:style w:type="paragraph" w:styleId="Heading2">
    <w:name w:val="heading 2"/>
    <w:basedOn w:val="Normal"/>
    <w:link w:val="Heading2Char"/>
    <w:uiPriority w:val="9"/>
    <w:qFormat/>
    <w:rsid w:val="00EB6AC4"/>
    <w:pPr>
      <w:spacing w:before="350" w:after="50" w:line="240" w:lineRule="auto"/>
      <w:ind w:left="350" w:right="350"/>
      <w:outlineLvl w:val="1"/>
    </w:pPr>
    <w:rPr>
      <w:rFonts w:ascii="Times New Roman" w:hAnsi="Times New Roman"/>
      <w:b/>
      <w:bCs/>
      <w:color w:val="3B4662"/>
      <w:sz w:val="20"/>
      <w:szCs w:val="20"/>
      <w:lang w:val="en-US"/>
    </w:rPr>
  </w:style>
  <w:style w:type="paragraph" w:styleId="Heading3">
    <w:name w:val="heading 3"/>
    <w:basedOn w:val="Normal"/>
    <w:link w:val="Heading3Char"/>
    <w:uiPriority w:val="9"/>
    <w:qFormat/>
    <w:rsid w:val="00EB6AC4"/>
    <w:pPr>
      <w:spacing w:after="0" w:line="240" w:lineRule="auto"/>
      <w:outlineLvl w:val="2"/>
    </w:pPr>
    <w:rPr>
      <w:rFonts w:ascii="Times New Roman" w:hAnsi="Times New Roman"/>
      <w:b/>
      <w:bCs/>
      <w:sz w:val="19"/>
      <w:szCs w:val="19"/>
      <w:lang w:val="en-US"/>
    </w:rPr>
  </w:style>
  <w:style w:type="paragraph" w:styleId="Heading4">
    <w:name w:val="heading 4"/>
    <w:basedOn w:val="Normal"/>
    <w:next w:val="Normal"/>
    <w:link w:val="Heading4Char"/>
    <w:uiPriority w:val="9"/>
    <w:unhideWhenUsed/>
    <w:qFormat/>
    <w:rsid w:val="00EB6AC4"/>
    <w:pPr>
      <w:keepNext/>
      <w:keepLines/>
      <w:spacing w:before="40" w:after="0"/>
      <w:outlineLvl w:val="3"/>
    </w:pPr>
    <w:rPr>
      <w:rFonts w:ascii="Cambria" w:hAnsi="Cambria"/>
      <w:i/>
      <w:iCs/>
      <w:color w:val="365F9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6AC4"/>
    <w:rPr>
      <w:rFonts w:ascii="Times New Roman" w:hAnsi="Times New Roman"/>
      <w:b/>
      <w:bCs/>
      <w:color w:val="757D8D"/>
      <w:kern w:val="36"/>
      <w:sz w:val="26"/>
      <w:szCs w:val="26"/>
      <w:lang w:eastAsia="el-GR"/>
    </w:rPr>
  </w:style>
  <w:style w:type="character" w:customStyle="1" w:styleId="Heading2Char">
    <w:name w:val="Heading 2 Char"/>
    <w:link w:val="Heading2"/>
    <w:uiPriority w:val="9"/>
    <w:rsid w:val="00EB6AC4"/>
    <w:rPr>
      <w:rFonts w:ascii="Times New Roman" w:hAnsi="Times New Roman"/>
      <w:b/>
      <w:bCs/>
      <w:color w:val="3B4662"/>
      <w:lang w:eastAsia="el-GR"/>
    </w:rPr>
  </w:style>
  <w:style w:type="character" w:customStyle="1" w:styleId="Heading3Char">
    <w:name w:val="Heading 3 Char"/>
    <w:link w:val="Heading3"/>
    <w:uiPriority w:val="9"/>
    <w:rsid w:val="00EB6AC4"/>
    <w:rPr>
      <w:rFonts w:ascii="Times New Roman" w:hAnsi="Times New Roman"/>
      <w:b/>
      <w:bCs/>
      <w:sz w:val="19"/>
      <w:szCs w:val="19"/>
      <w:lang w:eastAsia="el-GR"/>
    </w:rPr>
  </w:style>
  <w:style w:type="character" w:customStyle="1" w:styleId="Heading4Char">
    <w:name w:val="Heading 4 Char"/>
    <w:link w:val="Heading4"/>
    <w:uiPriority w:val="9"/>
    <w:rsid w:val="00EB6AC4"/>
    <w:rPr>
      <w:rFonts w:ascii="Cambria" w:hAnsi="Cambria"/>
      <w:i/>
      <w:iCs/>
      <w:color w:val="365F91"/>
    </w:rPr>
  </w:style>
  <w:style w:type="paragraph" w:styleId="Subtitle">
    <w:name w:val="Subtitle"/>
    <w:basedOn w:val="Normal"/>
    <w:next w:val="Normal"/>
    <w:link w:val="SubtitleChar"/>
    <w:uiPriority w:val="11"/>
    <w:qFormat/>
    <w:rsid w:val="00EB6AC4"/>
    <w:pPr>
      <w:numPr>
        <w:ilvl w:val="1"/>
      </w:numPr>
      <w:spacing w:after="160"/>
    </w:pPr>
    <w:rPr>
      <w:color w:val="5A5A5A"/>
      <w:spacing w:val="15"/>
      <w:sz w:val="20"/>
      <w:szCs w:val="20"/>
      <w:lang w:val="en-US"/>
    </w:rPr>
  </w:style>
  <w:style w:type="character" w:customStyle="1" w:styleId="SubtitleChar">
    <w:name w:val="Subtitle Char"/>
    <w:link w:val="Subtitle"/>
    <w:uiPriority w:val="11"/>
    <w:rsid w:val="00EB6AC4"/>
    <w:rPr>
      <w:color w:val="5A5A5A"/>
      <w:spacing w:val="15"/>
    </w:rPr>
  </w:style>
  <w:style w:type="character" w:styleId="Strong">
    <w:name w:val="Strong"/>
    <w:uiPriority w:val="22"/>
    <w:qFormat/>
    <w:rsid w:val="00EB6AC4"/>
    <w:rPr>
      <w:b/>
      <w:bCs/>
    </w:rPr>
  </w:style>
  <w:style w:type="character" w:styleId="Emphasis">
    <w:name w:val="Emphasis"/>
    <w:uiPriority w:val="20"/>
    <w:qFormat/>
    <w:rsid w:val="00EB6AC4"/>
    <w:rPr>
      <w:i/>
      <w:iCs/>
    </w:rPr>
  </w:style>
  <w:style w:type="paragraph" w:styleId="ListParagraph">
    <w:name w:val="List Paragraph"/>
    <w:basedOn w:val="Normal"/>
    <w:uiPriority w:val="34"/>
    <w:qFormat/>
    <w:rsid w:val="00EB6AC4"/>
    <w:pPr>
      <w:ind w:left="720"/>
      <w:contextualSpacing/>
    </w:pPr>
  </w:style>
  <w:style w:type="paragraph" w:styleId="Header">
    <w:name w:val="header"/>
    <w:basedOn w:val="Normal"/>
    <w:link w:val="HeaderChar"/>
    <w:uiPriority w:val="99"/>
    <w:unhideWhenUsed/>
    <w:rsid w:val="004D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D19"/>
    <w:rPr>
      <w:rFonts w:ascii="Tahoma" w:eastAsia="Calibri" w:hAnsi="Tahoma"/>
      <w:sz w:val="18"/>
      <w:szCs w:val="22"/>
      <w:lang w:val="el-GR"/>
    </w:rPr>
  </w:style>
  <w:style w:type="paragraph" w:styleId="Footer">
    <w:name w:val="footer"/>
    <w:basedOn w:val="Normal"/>
    <w:link w:val="FooterChar"/>
    <w:uiPriority w:val="99"/>
    <w:unhideWhenUsed/>
    <w:rsid w:val="004D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D19"/>
    <w:rPr>
      <w:rFonts w:ascii="Tahoma" w:eastAsia="Calibri" w:hAnsi="Tahoma"/>
      <w:sz w:val="18"/>
      <w:szCs w:val="22"/>
      <w:lang w:val="el-GR"/>
    </w:rPr>
  </w:style>
  <w:style w:type="paragraph" w:styleId="BalloonText">
    <w:name w:val="Balloon Text"/>
    <w:basedOn w:val="Normal"/>
    <w:link w:val="BalloonTextChar"/>
    <w:uiPriority w:val="99"/>
    <w:semiHidden/>
    <w:unhideWhenUsed/>
    <w:rsid w:val="004D6D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6D19"/>
    <w:rPr>
      <w:rFonts w:ascii="Segoe UI" w:eastAsia="Calibri" w:hAnsi="Segoe UI" w:cs="Segoe UI"/>
      <w:sz w:val="18"/>
      <w:szCs w:val="18"/>
      <w:lang w:val="el-GR"/>
    </w:rPr>
  </w:style>
  <w:style w:type="character" w:styleId="CommentReference">
    <w:name w:val="annotation reference"/>
    <w:basedOn w:val="DefaultParagraphFont"/>
    <w:uiPriority w:val="99"/>
    <w:semiHidden/>
    <w:unhideWhenUsed/>
    <w:rsid w:val="00496150"/>
    <w:rPr>
      <w:sz w:val="16"/>
      <w:szCs w:val="16"/>
    </w:rPr>
  </w:style>
  <w:style w:type="paragraph" w:styleId="CommentText">
    <w:name w:val="annotation text"/>
    <w:basedOn w:val="Normal"/>
    <w:link w:val="CommentTextChar"/>
    <w:uiPriority w:val="99"/>
    <w:semiHidden/>
    <w:unhideWhenUsed/>
    <w:rsid w:val="00496150"/>
    <w:pPr>
      <w:spacing w:line="240" w:lineRule="auto"/>
    </w:pPr>
    <w:rPr>
      <w:sz w:val="20"/>
      <w:szCs w:val="20"/>
    </w:rPr>
  </w:style>
  <w:style w:type="character" w:customStyle="1" w:styleId="CommentTextChar">
    <w:name w:val="Comment Text Char"/>
    <w:basedOn w:val="DefaultParagraphFont"/>
    <w:link w:val="CommentText"/>
    <w:uiPriority w:val="99"/>
    <w:semiHidden/>
    <w:rsid w:val="00496150"/>
    <w:rPr>
      <w:rFonts w:ascii="Tahoma" w:eastAsia="Calibri" w:hAnsi="Tahoma"/>
      <w:lang w:val="el-GR"/>
    </w:rPr>
  </w:style>
  <w:style w:type="paragraph" w:styleId="CommentSubject">
    <w:name w:val="annotation subject"/>
    <w:basedOn w:val="CommentText"/>
    <w:next w:val="CommentText"/>
    <w:link w:val="CommentSubjectChar"/>
    <w:uiPriority w:val="99"/>
    <w:semiHidden/>
    <w:unhideWhenUsed/>
    <w:rsid w:val="00496150"/>
    <w:rPr>
      <w:b/>
      <w:bCs/>
    </w:rPr>
  </w:style>
  <w:style w:type="character" w:customStyle="1" w:styleId="CommentSubjectChar">
    <w:name w:val="Comment Subject Char"/>
    <w:basedOn w:val="CommentTextChar"/>
    <w:link w:val="CommentSubject"/>
    <w:uiPriority w:val="99"/>
    <w:semiHidden/>
    <w:rsid w:val="00496150"/>
    <w:rPr>
      <w:rFonts w:ascii="Tahoma" w:eastAsia="Calibri" w:hAnsi="Tahoma"/>
      <w:b/>
      <w:bCs/>
      <w:lang w:val="el-GR"/>
    </w:rPr>
  </w:style>
  <w:style w:type="character" w:customStyle="1" w:styleId="markedcontent">
    <w:name w:val="markedcontent"/>
    <w:basedOn w:val="DefaultParagraphFont"/>
    <w:rsid w:val="00C678F2"/>
  </w:style>
  <w:style w:type="paragraph" w:customStyle="1" w:styleId="Default">
    <w:name w:val="Default"/>
    <w:rsid w:val="006D239E"/>
    <w:pPr>
      <w:autoSpaceDE w:val="0"/>
      <w:autoSpaceDN w:val="0"/>
      <w:adjustRightInd w:val="0"/>
    </w:pPr>
    <w:rPr>
      <w:rFonts w:ascii="Arial" w:eastAsia="Calibri" w:hAnsi="Arial" w:cs="Arial"/>
      <w:color w:val="000000"/>
      <w:sz w:val="24"/>
      <w:szCs w:val="24"/>
      <w:lang w:val="el-GR"/>
    </w:rPr>
  </w:style>
  <w:style w:type="paragraph" w:styleId="Revision">
    <w:name w:val="Revision"/>
    <w:hidden/>
    <w:uiPriority w:val="99"/>
    <w:semiHidden/>
    <w:rsid w:val="00FF7A62"/>
    <w:rPr>
      <w:rFonts w:ascii="Tahoma" w:eastAsia="Calibri" w:hAnsi="Tahoma"/>
      <w:sz w:val="1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7735">
      <w:bodyDiv w:val="1"/>
      <w:marLeft w:val="0"/>
      <w:marRight w:val="0"/>
      <w:marTop w:val="0"/>
      <w:marBottom w:val="0"/>
      <w:divBdr>
        <w:top w:val="none" w:sz="0" w:space="0" w:color="auto"/>
        <w:left w:val="none" w:sz="0" w:space="0" w:color="auto"/>
        <w:bottom w:val="none" w:sz="0" w:space="0" w:color="auto"/>
        <w:right w:val="none" w:sz="0" w:space="0" w:color="auto"/>
      </w:divBdr>
    </w:div>
    <w:div w:id="1052265372">
      <w:bodyDiv w:val="1"/>
      <w:marLeft w:val="0"/>
      <w:marRight w:val="0"/>
      <w:marTop w:val="0"/>
      <w:marBottom w:val="0"/>
      <w:divBdr>
        <w:top w:val="none" w:sz="0" w:space="0" w:color="auto"/>
        <w:left w:val="none" w:sz="0" w:space="0" w:color="auto"/>
        <w:bottom w:val="none" w:sz="0" w:space="0" w:color="auto"/>
        <w:right w:val="none" w:sz="0" w:space="0" w:color="auto"/>
      </w:divBdr>
    </w:div>
    <w:div w:id="1535265888">
      <w:bodyDiv w:val="1"/>
      <w:marLeft w:val="0"/>
      <w:marRight w:val="0"/>
      <w:marTop w:val="0"/>
      <w:marBottom w:val="0"/>
      <w:divBdr>
        <w:top w:val="none" w:sz="0" w:space="0" w:color="auto"/>
        <w:left w:val="none" w:sz="0" w:space="0" w:color="auto"/>
        <w:bottom w:val="none" w:sz="0" w:space="0" w:color="auto"/>
        <w:right w:val="none" w:sz="0" w:space="0" w:color="auto"/>
      </w:divBdr>
      <w:divsChild>
        <w:div w:id="597444046">
          <w:marLeft w:val="0"/>
          <w:marRight w:val="0"/>
          <w:marTop w:val="0"/>
          <w:marBottom w:val="0"/>
          <w:divBdr>
            <w:top w:val="none" w:sz="0" w:space="0" w:color="auto"/>
            <w:left w:val="none" w:sz="0" w:space="0" w:color="auto"/>
            <w:bottom w:val="none" w:sz="0" w:space="0" w:color="auto"/>
            <w:right w:val="none" w:sz="0" w:space="0" w:color="auto"/>
          </w:divBdr>
        </w:div>
        <w:div w:id="177544019">
          <w:marLeft w:val="0"/>
          <w:marRight w:val="0"/>
          <w:marTop w:val="0"/>
          <w:marBottom w:val="0"/>
          <w:divBdr>
            <w:top w:val="none" w:sz="0" w:space="0" w:color="auto"/>
            <w:left w:val="none" w:sz="0" w:space="0" w:color="auto"/>
            <w:bottom w:val="none" w:sz="0" w:space="0" w:color="auto"/>
            <w:right w:val="none" w:sz="0" w:space="0" w:color="auto"/>
          </w:divBdr>
        </w:div>
      </w:divsChild>
    </w:div>
    <w:div w:id="16179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marina toumba</cp:lastModifiedBy>
  <cp:revision>3</cp:revision>
  <cp:lastPrinted>2019-11-06T13:27:00Z</cp:lastPrinted>
  <dcterms:created xsi:type="dcterms:W3CDTF">2023-05-24T11:20:00Z</dcterms:created>
  <dcterms:modified xsi:type="dcterms:W3CDTF">2023-06-16T08:48:00Z</dcterms:modified>
</cp:coreProperties>
</file>