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7BF4" w:rsidRPr="000245F9" w:rsidRDefault="00EE7BF4" w:rsidP="00C457AF">
      <w:pPr>
        <w:jc w:val="center"/>
        <w:rPr>
          <w:rFonts w:ascii="Arial" w:hAnsi="Arial" w:cs="Arial"/>
        </w:rPr>
      </w:pPr>
      <w:r w:rsidRPr="000245F9">
        <w:rPr>
          <w:rFonts w:ascii="Arial" w:hAnsi="Arial" w:cs="Arial"/>
        </w:rPr>
        <w:t>ΝΟΜΟΣΧΕΔΙΟ ΜΕ ΤΙΤΛΟ</w:t>
      </w:r>
    </w:p>
    <w:p w:rsidR="00EE7BF4" w:rsidRDefault="00EE7BF4" w:rsidP="00C457AF">
      <w:pPr>
        <w:jc w:val="center"/>
        <w:rPr>
          <w:rFonts w:ascii="Arial" w:hAnsi="Arial" w:cs="Arial"/>
        </w:rPr>
      </w:pPr>
      <w:r w:rsidRPr="000245F9">
        <w:rPr>
          <w:rFonts w:ascii="Arial" w:hAnsi="Arial" w:cs="Arial"/>
        </w:rPr>
        <w:t>ΝΟΜΟΣ ΠΟΥ ΤΡΟΠΟΠΟΙΕΙ ΤΟΥΣ ΠΕΡΙ ΕΡΓΑΣΙΩΝ ΠΙΣΤΩΤΙΚΩΝ ΙΔΡΥΜΑΤΩΝ  ΝΟΜΟΥΣ ΤΟΥ 1997 ΕΩΣ (</w:t>
      </w:r>
      <w:proofErr w:type="spellStart"/>
      <w:r w:rsidRPr="000245F9">
        <w:rPr>
          <w:rFonts w:ascii="Arial" w:hAnsi="Arial" w:cs="Arial"/>
        </w:rPr>
        <w:t>Αρ</w:t>
      </w:r>
      <w:proofErr w:type="spellEnd"/>
      <w:r w:rsidRPr="000245F9">
        <w:rPr>
          <w:rFonts w:ascii="Arial" w:hAnsi="Arial" w:cs="Arial"/>
        </w:rPr>
        <w:t xml:space="preserve">. </w:t>
      </w:r>
      <w:r w:rsidR="00C5106C">
        <w:rPr>
          <w:rFonts w:ascii="Arial" w:hAnsi="Arial" w:cs="Arial"/>
          <w:lang w:val="en-GB"/>
        </w:rPr>
        <w:t>XX</w:t>
      </w:r>
      <w:r w:rsidRPr="000245F9">
        <w:rPr>
          <w:rFonts w:ascii="Arial" w:hAnsi="Arial" w:cs="Arial"/>
        </w:rPr>
        <w:t>) ΤΟΥ 202</w:t>
      </w:r>
      <w:r w:rsidR="006E68D9">
        <w:rPr>
          <w:rFonts w:ascii="Arial" w:hAnsi="Arial" w:cs="Arial"/>
        </w:rPr>
        <w:t>3</w:t>
      </w:r>
    </w:p>
    <w:p w:rsidR="000245F9" w:rsidRPr="000245F9" w:rsidRDefault="000245F9" w:rsidP="00C457AF">
      <w:pPr>
        <w:jc w:val="center"/>
        <w:rPr>
          <w:rFonts w:ascii="Arial" w:hAnsi="Arial" w:cs="Arial"/>
        </w:rPr>
      </w:pPr>
    </w:p>
    <w:tbl>
      <w:tblPr>
        <w:tblpPr w:leftFromText="180" w:rightFromText="180" w:bottomFromText="160" w:vertAnchor="text" w:tblpX="-34" w:tblpY="1"/>
        <w:tblOverlap w:val="never"/>
        <w:tblW w:w="9362" w:type="dxa"/>
        <w:tblLayout w:type="fixed"/>
        <w:tblLook w:val="00A0" w:firstRow="1" w:lastRow="0" w:firstColumn="1" w:lastColumn="0" w:noHBand="0" w:noVBand="0"/>
      </w:tblPr>
      <w:tblGrid>
        <w:gridCol w:w="2189"/>
        <w:gridCol w:w="581"/>
        <w:gridCol w:w="6592"/>
      </w:tblGrid>
      <w:tr w:rsidR="00992D09" w:rsidRPr="00724FF6" w:rsidTr="00C457AF">
        <w:trPr>
          <w:trHeight w:val="132"/>
        </w:trPr>
        <w:tc>
          <w:tcPr>
            <w:tcW w:w="2189" w:type="dxa"/>
          </w:tcPr>
          <w:p w:rsidR="00992D09" w:rsidRPr="00724FF6" w:rsidRDefault="003C227F" w:rsidP="00C457AF">
            <w:pPr>
              <w:spacing w:after="0" w:line="240" w:lineRule="auto"/>
              <w:contextualSpacing/>
              <w:mirrorIndents/>
              <w:jc w:val="both"/>
              <w:rPr>
                <w:rFonts w:ascii="Arial" w:eastAsia="Arial Unicode MS" w:hAnsi="Arial" w:cs="Arial"/>
                <w:sz w:val="18"/>
                <w:szCs w:val="18"/>
                <w:lang w:eastAsia="el-GR"/>
              </w:rPr>
            </w:pPr>
            <w:r w:rsidRPr="00724FF6">
              <w:rPr>
                <w:rFonts w:ascii="Arial" w:eastAsia="Arial Unicode MS" w:hAnsi="Arial" w:cs="Arial"/>
                <w:sz w:val="18"/>
                <w:szCs w:val="18"/>
                <w:lang w:eastAsia="el-GR"/>
              </w:rPr>
              <w:t>Προοίμιο</w:t>
            </w:r>
            <w:r w:rsidR="00007BBC" w:rsidRPr="00724FF6">
              <w:rPr>
                <w:rFonts w:ascii="Arial" w:eastAsia="Arial Unicode MS" w:hAnsi="Arial" w:cs="Arial"/>
                <w:sz w:val="18"/>
                <w:szCs w:val="18"/>
                <w:lang w:eastAsia="el-GR"/>
              </w:rPr>
              <w:t>.</w:t>
            </w:r>
            <w:r w:rsidRPr="00724FF6">
              <w:rPr>
                <w:rFonts w:ascii="Arial" w:eastAsia="Arial Unicode MS" w:hAnsi="Arial" w:cs="Arial"/>
                <w:sz w:val="18"/>
                <w:szCs w:val="18"/>
                <w:lang w:eastAsia="el-GR"/>
              </w:rPr>
              <w:t xml:space="preserve"> </w:t>
            </w:r>
          </w:p>
          <w:p w:rsidR="009C2A2D" w:rsidRPr="00724FF6" w:rsidRDefault="009C2A2D" w:rsidP="00C457AF">
            <w:pPr>
              <w:spacing w:after="0" w:line="240" w:lineRule="auto"/>
              <w:contextualSpacing/>
              <w:mirrorIndents/>
              <w:jc w:val="both"/>
              <w:rPr>
                <w:rFonts w:ascii="Arial" w:eastAsia="Arial Unicode MS" w:hAnsi="Arial" w:cs="Arial"/>
                <w:sz w:val="18"/>
                <w:szCs w:val="18"/>
                <w:lang w:eastAsia="el-GR"/>
              </w:rPr>
            </w:pPr>
          </w:p>
          <w:p w:rsidR="00745A44" w:rsidRPr="00745A44" w:rsidRDefault="00745A44" w:rsidP="00C457AF">
            <w:pPr>
              <w:spacing w:after="0" w:line="240" w:lineRule="auto"/>
              <w:contextualSpacing/>
              <w:mirrorIndents/>
              <w:jc w:val="both"/>
              <w:rPr>
                <w:rFonts w:ascii="Arial" w:eastAsia="Arial Unicode MS" w:hAnsi="Arial" w:cs="Arial"/>
                <w:sz w:val="18"/>
                <w:szCs w:val="18"/>
                <w:lang w:eastAsia="el-GR"/>
              </w:rPr>
            </w:pPr>
            <w:r w:rsidRPr="00745A44">
              <w:rPr>
                <w:rFonts w:ascii="Arial" w:eastAsia="Arial Unicode MS" w:hAnsi="Arial" w:cs="Arial"/>
                <w:sz w:val="18"/>
                <w:szCs w:val="18"/>
                <w:lang w:eastAsia="el-GR"/>
              </w:rPr>
              <w:t>Επίσημη Εφημερίδα της ΕΕ꞉ L 173 της 12.6.2014, σ. 190ˑ</w:t>
            </w:r>
          </w:p>
          <w:p w:rsidR="009C2A2D" w:rsidRPr="00724FF6" w:rsidRDefault="00745A44" w:rsidP="00C457AF">
            <w:pPr>
              <w:spacing w:after="0" w:line="240" w:lineRule="auto"/>
              <w:contextualSpacing/>
              <w:mirrorIndents/>
              <w:jc w:val="both"/>
              <w:rPr>
                <w:rFonts w:ascii="Arial" w:eastAsia="Arial Unicode MS" w:hAnsi="Arial" w:cs="Arial"/>
                <w:sz w:val="18"/>
                <w:szCs w:val="18"/>
                <w:lang w:eastAsia="el-GR"/>
              </w:rPr>
            </w:pPr>
            <w:r w:rsidRPr="00745A44">
              <w:rPr>
                <w:rFonts w:ascii="Arial" w:eastAsia="Arial Unicode MS" w:hAnsi="Arial" w:cs="Arial"/>
                <w:sz w:val="18"/>
                <w:szCs w:val="18"/>
                <w:lang w:eastAsia="el-GR"/>
              </w:rPr>
              <w:t xml:space="preserve">L </w:t>
            </w:r>
            <w:r w:rsidR="0015679F">
              <w:rPr>
                <w:rFonts w:ascii="Arial" w:eastAsia="Arial Unicode MS" w:hAnsi="Arial" w:cs="Arial"/>
                <w:sz w:val="18"/>
                <w:szCs w:val="18"/>
                <w:lang w:eastAsia="el-GR"/>
              </w:rPr>
              <w:t>2</w:t>
            </w:r>
            <w:r w:rsidR="00DA3397">
              <w:rPr>
                <w:rFonts w:ascii="Arial" w:eastAsia="Arial Unicode MS" w:hAnsi="Arial" w:cs="Arial"/>
                <w:sz w:val="18"/>
                <w:szCs w:val="18"/>
                <w:lang w:eastAsia="el-GR"/>
              </w:rPr>
              <w:t>75</w:t>
            </w:r>
            <w:r w:rsidRPr="00745A44">
              <w:rPr>
                <w:rFonts w:ascii="Arial" w:eastAsia="Arial Unicode MS" w:hAnsi="Arial" w:cs="Arial"/>
                <w:sz w:val="18"/>
                <w:szCs w:val="18"/>
                <w:lang w:eastAsia="el-GR"/>
              </w:rPr>
              <w:t xml:space="preserve"> της </w:t>
            </w:r>
            <w:r w:rsidR="00DA3397">
              <w:rPr>
                <w:rFonts w:ascii="Arial" w:eastAsia="Arial Unicode MS" w:hAnsi="Arial" w:cs="Arial"/>
                <w:sz w:val="18"/>
                <w:szCs w:val="18"/>
                <w:lang w:eastAsia="el-GR"/>
              </w:rPr>
              <w:t>25</w:t>
            </w:r>
            <w:r w:rsidRPr="00745A44">
              <w:rPr>
                <w:rFonts w:ascii="Arial" w:eastAsia="Arial Unicode MS" w:hAnsi="Arial" w:cs="Arial"/>
                <w:sz w:val="18"/>
                <w:szCs w:val="18"/>
                <w:lang w:eastAsia="el-GR"/>
              </w:rPr>
              <w:t>.</w:t>
            </w:r>
            <w:r w:rsidR="00DA3397">
              <w:rPr>
                <w:rFonts w:ascii="Arial" w:eastAsia="Arial Unicode MS" w:hAnsi="Arial" w:cs="Arial"/>
                <w:sz w:val="18"/>
                <w:szCs w:val="18"/>
                <w:lang w:eastAsia="el-GR"/>
              </w:rPr>
              <w:t>10</w:t>
            </w:r>
            <w:r w:rsidRPr="00745A44">
              <w:rPr>
                <w:rFonts w:ascii="Arial" w:eastAsia="Arial Unicode MS" w:hAnsi="Arial" w:cs="Arial"/>
                <w:sz w:val="18"/>
                <w:szCs w:val="18"/>
                <w:lang w:eastAsia="el-GR"/>
              </w:rPr>
              <w:t>.20</w:t>
            </w:r>
            <w:r w:rsidR="000D6C85">
              <w:rPr>
                <w:rFonts w:ascii="Arial" w:eastAsia="Arial Unicode MS" w:hAnsi="Arial" w:cs="Arial"/>
                <w:sz w:val="18"/>
                <w:szCs w:val="18"/>
                <w:lang w:val="en-GB" w:eastAsia="el-GR"/>
              </w:rPr>
              <w:t>2</w:t>
            </w:r>
            <w:r w:rsidR="00DA3397">
              <w:rPr>
                <w:rFonts w:ascii="Arial" w:eastAsia="Arial Unicode MS" w:hAnsi="Arial" w:cs="Arial"/>
                <w:sz w:val="18"/>
                <w:szCs w:val="18"/>
                <w:lang w:eastAsia="el-GR"/>
              </w:rPr>
              <w:t>2</w:t>
            </w:r>
            <w:r w:rsidRPr="00745A44">
              <w:rPr>
                <w:rFonts w:ascii="Arial" w:eastAsia="Arial Unicode MS" w:hAnsi="Arial" w:cs="Arial"/>
                <w:sz w:val="18"/>
                <w:szCs w:val="18"/>
                <w:lang w:eastAsia="el-GR"/>
              </w:rPr>
              <w:t xml:space="preserve">, σ. </w:t>
            </w:r>
            <w:r w:rsidR="00DA3397">
              <w:rPr>
                <w:rFonts w:ascii="Arial" w:eastAsia="Arial Unicode MS" w:hAnsi="Arial" w:cs="Arial"/>
                <w:sz w:val="18"/>
                <w:szCs w:val="18"/>
                <w:lang w:eastAsia="el-GR"/>
              </w:rPr>
              <w:t>1</w:t>
            </w:r>
            <w:r w:rsidRPr="00745A44">
              <w:rPr>
                <w:rFonts w:ascii="Arial" w:eastAsia="Arial Unicode MS" w:hAnsi="Arial" w:cs="Arial"/>
                <w:sz w:val="18"/>
                <w:szCs w:val="18"/>
                <w:lang w:eastAsia="el-GR"/>
              </w:rPr>
              <w:t>.</w:t>
            </w:r>
          </w:p>
          <w:p w:rsidR="009C2A2D" w:rsidRPr="00724FF6" w:rsidRDefault="009C2A2D" w:rsidP="00C457AF">
            <w:pPr>
              <w:spacing w:after="0" w:line="240" w:lineRule="auto"/>
              <w:contextualSpacing/>
              <w:mirrorIndents/>
              <w:jc w:val="both"/>
              <w:rPr>
                <w:rFonts w:ascii="Arial" w:eastAsia="Arial Unicode MS" w:hAnsi="Arial" w:cs="Arial"/>
                <w:sz w:val="18"/>
                <w:szCs w:val="18"/>
                <w:lang w:eastAsia="el-GR"/>
              </w:rPr>
            </w:pPr>
          </w:p>
          <w:p w:rsidR="009C2A2D" w:rsidRPr="00724FF6" w:rsidRDefault="009C2A2D" w:rsidP="00C457AF">
            <w:pPr>
              <w:spacing w:after="0" w:line="240" w:lineRule="auto"/>
              <w:contextualSpacing/>
              <w:mirrorIndents/>
              <w:jc w:val="both"/>
              <w:rPr>
                <w:rFonts w:ascii="Arial" w:eastAsia="Arial Unicode MS" w:hAnsi="Arial" w:cs="Arial"/>
                <w:sz w:val="18"/>
                <w:szCs w:val="18"/>
                <w:lang w:eastAsia="el-GR"/>
              </w:rPr>
            </w:pPr>
          </w:p>
          <w:p w:rsidR="0060195C" w:rsidRPr="00724FF6" w:rsidRDefault="0060195C" w:rsidP="00C457AF">
            <w:pPr>
              <w:spacing w:after="0" w:line="240" w:lineRule="auto"/>
              <w:contextualSpacing/>
              <w:mirrorIndents/>
              <w:jc w:val="both"/>
              <w:rPr>
                <w:rFonts w:ascii="Arial" w:eastAsia="Arial Unicode MS" w:hAnsi="Arial" w:cs="Arial"/>
                <w:sz w:val="18"/>
                <w:szCs w:val="18"/>
                <w:lang w:eastAsia="el-GR"/>
              </w:rPr>
            </w:pPr>
          </w:p>
        </w:tc>
        <w:tc>
          <w:tcPr>
            <w:tcW w:w="7173" w:type="dxa"/>
            <w:gridSpan w:val="2"/>
            <w:hideMark/>
          </w:tcPr>
          <w:p w:rsidR="00027F57" w:rsidRPr="000245F9" w:rsidRDefault="003C227F" w:rsidP="00C457AF">
            <w:pPr>
              <w:spacing w:after="0" w:line="240" w:lineRule="auto"/>
              <w:contextualSpacing/>
              <w:mirrorIndents/>
              <w:jc w:val="both"/>
              <w:rPr>
                <w:rFonts w:ascii="Arial" w:eastAsia="Arial Unicode MS" w:hAnsi="Arial" w:cs="Arial"/>
                <w:bCs/>
                <w:lang w:eastAsia="el-GR"/>
              </w:rPr>
            </w:pPr>
            <w:r w:rsidRPr="000245F9">
              <w:rPr>
                <w:rFonts w:ascii="Arial" w:eastAsia="Arial Unicode MS" w:hAnsi="Arial" w:cs="Arial"/>
                <w:bCs/>
                <w:lang w:eastAsia="el-GR"/>
              </w:rPr>
              <w:t>Για σκοπούς</w:t>
            </w:r>
            <w:r w:rsidR="00C463FC" w:rsidRPr="000245F9">
              <w:rPr>
                <w:rFonts w:ascii="Arial" w:eastAsia="Arial Unicode MS" w:hAnsi="Arial" w:cs="Arial"/>
                <w:bCs/>
                <w:lang w:eastAsia="el-GR"/>
              </w:rPr>
              <w:t xml:space="preserve"> </w:t>
            </w:r>
            <w:r w:rsidR="00EE7BF4" w:rsidRPr="000245F9">
              <w:rPr>
                <w:rFonts w:ascii="Arial" w:eastAsia="Arial Unicode MS" w:hAnsi="Arial" w:cs="Arial"/>
                <w:bCs/>
                <w:lang w:eastAsia="el-GR"/>
              </w:rPr>
              <w:t xml:space="preserve">ορθότερης </w:t>
            </w:r>
            <w:r w:rsidRPr="000245F9">
              <w:rPr>
                <w:rFonts w:ascii="Arial" w:eastAsia="Arial Unicode MS" w:hAnsi="Arial" w:cs="Arial"/>
                <w:bCs/>
                <w:lang w:eastAsia="el-GR"/>
              </w:rPr>
              <w:t xml:space="preserve">εναρμόνισης </w:t>
            </w:r>
            <w:r w:rsidR="00745A44" w:rsidRPr="000245F9">
              <w:rPr>
                <w:rFonts w:ascii="Arial" w:eastAsia="Arial Unicode MS" w:hAnsi="Arial" w:cs="Arial"/>
                <w:bCs/>
                <w:lang w:eastAsia="el-GR"/>
              </w:rPr>
              <w:t>με την παράγραφο 4 του</w:t>
            </w:r>
            <w:r w:rsidRPr="000245F9">
              <w:rPr>
                <w:rFonts w:ascii="Arial" w:eastAsia="Arial Unicode MS" w:hAnsi="Arial" w:cs="Arial"/>
                <w:bCs/>
                <w:lang w:eastAsia="el-GR"/>
              </w:rPr>
              <w:t xml:space="preserve"> Άρθρ</w:t>
            </w:r>
            <w:r w:rsidR="004151DA" w:rsidRPr="000245F9">
              <w:rPr>
                <w:rFonts w:ascii="Arial" w:eastAsia="Arial Unicode MS" w:hAnsi="Arial" w:cs="Arial"/>
                <w:bCs/>
                <w:lang w:eastAsia="el-GR"/>
              </w:rPr>
              <w:t>ο</w:t>
            </w:r>
            <w:r w:rsidR="00745A44" w:rsidRPr="000245F9">
              <w:rPr>
                <w:rFonts w:ascii="Arial" w:eastAsia="Arial Unicode MS" w:hAnsi="Arial" w:cs="Arial"/>
                <w:bCs/>
                <w:lang w:eastAsia="el-GR"/>
              </w:rPr>
              <w:t>υ</w:t>
            </w:r>
            <w:r w:rsidR="00745A44" w:rsidRPr="000245F9">
              <w:rPr>
                <w:rFonts w:ascii="Arial" w:hAnsi="Arial" w:cs="Arial"/>
              </w:rPr>
              <w:t xml:space="preserve"> 32 της πράξης της Ευρωπαϊκής Ένωσης με τίτλο «Οδηγία 2014/59/ΕΕ του Ευρωπαϊκού Κοινοβουλίου και του Συμβουλίου της 15ης Μαΐου 2014 για τη θέσπιση πλαισίου για την ανάκαμψη και την εξυγίανση πιστωτικών ιδρυμάτων και επιχειρήσεων επενδύσεων και για την τροποποίηση της Οδηγίας 82/891/ΕΟΚ του Συμβουλίου, και των Οδηγιών 2001/24/ΕΚ, 2002/47/ΕΚ, 2004/25/ΕΚ, 2005/56/ΕΚ, 2007/36/ΕΚ, 2011/35/ΕΕ, 2012/30/ΕΕ και 2013/36/ΕΕ, καθώς και των Κανονισμών του Ευρωπαϊκού Κοινοβουλίου και του Συμβουλίου (ΕΕ) αριθ. 1093/2010 και (ΕΕ) αριθ. 648/2012», </w:t>
            </w:r>
            <w:r w:rsidR="00DA3397">
              <w:t xml:space="preserve"> </w:t>
            </w:r>
            <w:r w:rsidR="00DA3397" w:rsidRPr="00DA3397">
              <w:rPr>
                <w:rFonts w:ascii="Arial" w:hAnsi="Arial" w:cs="Arial"/>
              </w:rPr>
              <w:t xml:space="preserve">όπως διορθώθηκε και όπως τροποποιήθηκε τελευταία από τον  Κανονισμό (ΕΕ) 2022/2036 του Ευρωπαϊκού Κοινοβουλίου και του Συμβουλίου της 19ης Οκτωβρίου 2022, </w:t>
            </w:r>
          </w:p>
          <w:p w:rsidR="0060195C" w:rsidRPr="000245F9" w:rsidRDefault="0060195C" w:rsidP="00C457AF">
            <w:pPr>
              <w:spacing w:after="0" w:line="240" w:lineRule="auto"/>
              <w:contextualSpacing/>
              <w:mirrorIndents/>
              <w:jc w:val="both"/>
              <w:rPr>
                <w:rFonts w:ascii="Arial" w:eastAsia="Arial Unicode MS" w:hAnsi="Arial" w:cs="Arial"/>
                <w:bCs/>
                <w:lang w:eastAsia="el-GR"/>
              </w:rPr>
            </w:pPr>
          </w:p>
        </w:tc>
      </w:tr>
      <w:tr w:rsidR="002E6A25" w:rsidRPr="00724FF6" w:rsidTr="00C457AF">
        <w:trPr>
          <w:trHeight w:val="132"/>
        </w:trPr>
        <w:tc>
          <w:tcPr>
            <w:tcW w:w="2189" w:type="dxa"/>
          </w:tcPr>
          <w:p w:rsidR="002E6A25" w:rsidRPr="00724FF6" w:rsidRDefault="002E6A25" w:rsidP="00C457AF">
            <w:pPr>
              <w:spacing w:after="0" w:line="240" w:lineRule="auto"/>
              <w:contextualSpacing/>
              <w:mirrorIndents/>
              <w:jc w:val="both"/>
              <w:rPr>
                <w:rFonts w:ascii="Arial" w:eastAsia="Arial Unicode MS" w:hAnsi="Arial" w:cs="Arial"/>
                <w:sz w:val="18"/>
                <w:szCs w:val="18"/>
                <w:lang w:eastAsia="el-GR"/>
              </w:rPr>
            </w:pPr>
          </w:p>
        </w:tc>
        <w:tc>
          <w:tcPr>
            <w:tcW w:w="7173" w:type="dxa"/>
            <w:gridSpan w:val="2"/>
          </w:tcPr>
          <w:p w:rsidR="002E6A25" w:rsidRPr="000245F9" w:rsidRDefault="002E6A25" w:rsidP="00C457AF">
            <w:pPr>
              <w:spacing w:after="0" w:line="240" w:lineRule="auto"/>
              <w:contextualSpacing/>
              <w:mirrorIndents/>
              <w:jc w:val="both"/>
              <w:rPr>
                <w:rFonts w:ascii="Arial" w:eastAsia="Arial Unicode MS" w:hAnsi="Arial" w:cs="Arial"/>
                <w:bCs/>
                <w:lang w:eastAsia="el-GR"/>
              </w:rPr>
            </w:pPr>
          </w:p>
        </w:tc>
      </w:tr>
      <w:tr w:rsidR="00992D09" w:rsidRPr="00724FF6" w:rsidTr="00C457AF">
        <w:trPr>
          <w:trHeight w:val="132"/>
        </w:trPr>
        <w:tc>
          <w:tcPr>
            <w:tcW w:w="2189" w:type="dxa"/>
          </w:tcPr>
          <w:p w:rsidR="00992D09" w:rsidRPr="00724FF6" w:rsidRDefault="00992D09" w:rsidP="00C457AF">
            <w:pPr>
              <w:spacing w:after="0" w:line="240" w:lineRule="auto"/>
              <w:contextualSpacing/>
              <w:mirrorIndents/>
              <w:jc w:val="both"/>
              <w:rPr>
                <w:rFonts w:ascii="Arial" w:eastAsia="Arial Unicode MS" w:hAnsi="Arial" w:cs="Arial"/>
                <w:sz w:val="18"/>
                <w:szCs w:val="18"/>
                <w:lang w:eastAsia="el-GR"/>
              </w:rPr>
            </w:pPr>
          </w:p>
        </w:tc>
        <w:tc>
          <w:tcPr>
            <w:tcW w:w="7173" w:type="dxa"/>
            <w:gridSpan w:val="2"/>
          </w:tcPr>
          <w:p w:rsidR="00992D09" w:rsidRPr="000245F9" w:rsidRDefault="00745A44" w:rsidP="00C457AF">
            <w:pPr>
              <w:spacing w:after="0" w:line="240" w:lineRule="auto"/>
              <w:contextualSpacing/>
              <w:mirrorIndents/>
              <w:rPr>
                <w:rFonts w:ascii="Arial" w:eastAsia="Arial Unicode MS" w:hAnsi="Arial" w:cs="Arial"/>
                <w:bCs/>
                <w:lang w:eastAsia="el-GR"/>
              </w:rPr>
            </w:pPr>
            <w:r w:rsidRPr="000245F9">
              <w:rPr>
                <w:rFonts w:ascii="Arial" w:eastAsia="Arial Unicode MS" w:hAnsi="Arial" w:cs="Arial"/>
                <w:bCs/>
                <w:lang w:eastAsia="el-GR"/>
              </w:rPr>
              <w:t>η</w:t>
            </w:r>
            <w:r w:rsidR="00AB1029" w:rsidRPr="000245F9">
              <w:rPr>
                <w:rFonts w:ascii="Arial" w:eastAsia="Arial Unicode MS" w:hAnsi="Arial" w:cs="Arial"/>
                <w:bCs/>
                <w:lang w:eastAsia="el-GR"/>
              </w:rPr>
              <w:t xml:space="preserve"> Βουλή των Αντιπροσώπων ψηφίζει ως ακολούθως:</w:t>
            </w:r>
          </w:p>
        </w:tc>
      </w:tr>
      <w:tr w:rsidR="00992D09" w:rsidRPr="00724FF6" w:rsidTr="00C457AF">
        <w:trPr>
          <w:trHeight w:val="132"/>
        </w:trPr>
        <w:tc>
          <w:tcPr>
            <w:tcW w:w="2189" w:type="dxa"/>
          </w:tcPr>
          <w:p w:rsidR="00992D09" w:rsidRPr="00724FF6" w:rsidRDefault="00992D09" w:rsidP="00C457AF">
            <w:pPr>
              <w:spacing w:after="0" w:line="240" w:lineRule="auto"/>
              <w:contextualSpacing/>
              <w:mirrorIndents/>
              <w:jc w:val="both"/>
              <w:rPr>
                <w:rFonts w:ascii="Arial" w:eastAsia="Arial Unicode MS" w:hAnsi="Arial" w:cs="Arial"/>
                <w:sz w:val="18"/>
                <w:szCs w:val="18"/>
                <w:lang w:eastAsia="el-GR"/>
              </w:rPr>
            </w:pPr>
          </w:p>
        </w:tc>
        <w:tc>
          <w:tcPr>
            <w:tcW w:w="7173" w:type="dxa"/>
            <w:gridSpan w:val="2"/>
          </w:tcPr>
          <w:p w:rsidR="00992D09" w:rsidRPr="000245F9" w:rsidRDefault="00992D09" w:rsidP="00C457AF">
            <w:pPr>
              <w:spacing w:after="0" w:line="240" w:lineRule="auto"/>
              <w:contextualSpacing/>
              <w:mirrorIndents/>
              <w:jc w:val="both"/>
              <w:rPr>
                <w:rFonts w:ascii="Arial" w:eastAsia="Arial Unicode MS" w:hAnsi="Arial" w:cs="Arial"/>
                <w:lang w:eastAsia="el-GR"/>
              </w:rPr>
            </w:pPr>
          </w:p>
        </w:tc>
      </w:tr>
      <w:tr w:rsidR="00992D09" w:rsidRPr="00724FF6" w:rsidTr="00C457AF">
        <w:trPr>
          <w:trHeight w:val="132"/>
        </w:trPr>
        <w:tc>
          <w:tcPr>
            <w:tcW w:w="2189" w:type="dxa"/>
          </w:tcPr>
          <w:p w:rsidR="00992D09" w:rsidRPr="00724FF6" w:rsidRDefault="00992D09" w:rsidP="00C457AF">
            <w:pPr>
              <w:spacing w:after="0" w:line="240" w:lineRule="auto"/>
              <w:contextualSpacing/>
              <w:mirrorIndents/>
              <w:jc w:val="both"/>
              <w:rPr>
                <w:rFonts w:ascii="Arial" w:eastAsia="Arial Unicode MS" w:hAnsi="Arial" w:cs="Arial"/>
                <w:sz w:val="18"/>
                <w:szCs w:val="18"/>
                <w:lang w:eastAsia="el-GR"/>
              </w:rPr>
            </w:pPr>
            <w:r w:rsidRPr="00724FF6">
              <w:rPr>
                <w:rFonts w:ascii="Arial" w:eastAsia="Arial Unicode MS" w:hAnsi="Arial" w:cs="Arial"/>
                <w:sz w:val="18"/>
                <w:szCs w:val="18"/>
                <w:lang w:eastAsia="el-GR"/>
              </w:rPr>
              <w:t>Συνοπτικός τίτλος.</w:t>
            </w:r>
          </w:p>
          <w:p w:rsidR="00A134F8" w:rsidRDefault="00B04C0B" w:rsidP="00C457AF">
            <w:pPr>
              <w:spacing w:after="0" w:line="240" w:lineRule="auto"/>
              <w:contextualSpacing/>
              <w:mirrorIndents/>
              <w:jc w:val="both"/>
              <w:rPr>
                <w:rFonts w:ascii="Arial" w:eastAsia="Arial Unicode MS" w:hAnsi="Arial" w:cs="Arial"/>
                <w:sz w:val="18"/>
                <w:szCs w:val="18"/>
                <w:lang w:eastAsia="el-GR"/>
              </w:rPr>
            </w:pPr>
            <w:r w:rsidRPr="00724FF6">
              <w:rPr>
                <w:rFonts w:ascii="Arial" w:eastAsia="Arial Unicode MS" w:hAnsi="Arial" w:cs="Arial"/>
                <w:sz w:val="18"/>
                <w:szCs w:val="18"/>
                <w:highlight w:val="yellow"/>
                <w:lang w:eastAsia="el-GR"/>
              </w:rPr>
              <w:t xml:space="preserve">               </w:t>
            </w:r>
            <w:r w:rsidR="001324AD">
              <w:rPr>
                <w:rFonts w:ascii="Arial" w:eastAsia="Arial Unicode MS" w:hAnsi="Arial" w:cs="Arial"/>
                <w:sz w:val="18"/>
                <w:szCs w:val="18"/>
                <w:lang w:eastAsia="el-GR"/>
              </w:rPr>
              <w:t xml:space="preserve"> </w:t>
            </w:r>
          </w:p>
          <w:p w:rsidR="00791319" w:rsidRPr="00791319" w:rsidRDefault="001324AD" w:rsidP="00C457AF">
            <w:pPr>
              <w:spacing w:after="0" w:line="240" w:lineRule="auto"/>
              <w:contextualSpacing/>
              <w:mirrorIndents/>
              <w:jc w:val="both"/>
              <w:rPr>
                <w:rFonts w:ascii="Arial" w:eastAsia="Arial Unicode MS" w:hAnsi="Arial" w:cs="Arial"/>
                <w:sz w:val="18"/>
                <w:szCs w:val="18"/>
                <w:lang w:eastAsia="el-GR"/>
              </w:rPr>
            </w:pPr>
            <w:r>
              <w:rPr>
                <w:rFonts w:ascii="Arial" w:eastAsia="Arial Unicode MS" w:hAnsi="Arial" w:cs="Arial"/>
                <w:sz w:val="18"/>
                <w:szCs w:val="18"/>
                <w:lang w:eastAsia="el-GR"/>
              </w:rPr>
              <w:t xml:space="preserve">            </w:t>
            </w:r>
          </w:p>
          <w:p w:rsidR="00791319" w:rsidRPr="00791319" w:rsidRDefault="00791319" w:rsidP="00C457AF">
            <w:pPr>
              <w:spacing w:after="0" w:line="240" w:lineRule="auto"/>
              <w:ind w:left="449"/>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 xml:space="preserve">66(I) του 1997 </w:t>
            </w:r>
          </w:p>
          <w:p w:rsidR="00791319" w:rsidRPr="00791319" w:rsidRDefault="00791319" w:rsidP="00C457AF">
            <w:pPr>
              <w:spacing w:after="0" w:line="240" w:lineRule="auto"/>
              <w:ind w:left="449"/>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 xml:space="preserve">74(Ι) του 1999 </w:t>
            </w:r>
          </w:p>
          <w:p w:rsidR="00791319" w:rsidRPr="00791319" w:rsidRDefault="00791319" w:rsidP="00C457AF">
            <w:pPr>
              <w:spacing w:after="0" w:line="240" w:lineRule="auto"/>
              <w:ind w:left="449"/>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 xml:space="preserve">94(Ι) του 2000 </w:t>
            </w:r>
          </w:p>
          <w:p w:rsidR="00791319" w:rsidRPr="00791319" w:rsidRDefault="00791319" w:rsidP="00C457AF">
            <w:pPr>
              <w:spacing w:after="0" w:line="240" w:lineRule="auto"/>
              <w:ind w:left="449"/>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119(Ι) του 2003</w:t>
            </w:r>
          </w:p>
          <w:p w:rsidR="00791319" w:rsidRPr="00791319" w:rsidRDefault="00791319" w:rsidP="00C457AF">
            <w:pPr>
              <w:spacing w:after="0" w:line="240" w:lineRule="auto"/>
              <w:ind w:left="449"/>
              <w:contextualSpacing/>
              <w:mirrorIndents/>
              <w:jc w:val="both"/>
              <w:rPr>
                <w:rFonts w:ascii="Arial" w:eastAsia="Arial Unicode MS" w:hAnsi="Arial" w:cs="Arial"/>
                <w:sz w:val="18"/>
                <w:szCs w:val="18"/>
                <w:lang w:eastAsia="el-GR"/>
              </w:rPr>
            </w:pP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 xml:space="preserve">4(Ι) του 2004 </w:t>
            </w:r>
          </w:p>
          <w:p w:rsidR="00791319" w:rsidRPr="00791319" w:rsidRDefault="00791319" w:rsidP="00C457AF">
            <w:pPr>
              <w:spacing w:after="0" w:line="240" w:lineRule="auto"/>
              <w:ind w:left="449"/>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151(Ι) του 2004</w:t>
            </w:r>
          </w:p>
          <w:p w:rsidR="00791319" w:rsidRPr="00791319" w:rsidRDefault="00791319" w:rsidP="00C457AF">
            <w:pPr>
              <w:spacing w:after="0" w:line="240" w:lineRule="auto"/>
              <w:ind w:left="449"/>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 xml:space="preserve">231(Ι) του 2004 </w:t>
            </w:r>
          </w:p>
          <w:p w:rsidR="00791319" w:rsidRPr="00791319" w:rsidRDefault="00791319" w:rsidP="00C457AF">
            <w:pPr>
              <w:spacing w:after="0" w:line="240" w:lineRule="auto"/>
              <w:ind w:left="449"/>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 xml:space="preserve">235(Ι) του 2004 </w:t>
            </w:r>
          </w:p>
          <w:p w:rsidR="00791319" w:rsidRPr="00791319" w:rsidRDefault="00791319" w:rsidP="00C457AF">
            <w:pPr>
              <w:spacing w:after="0" w:line="240" w:lineRule="auto"/>
              <w:ind w:left="449"/>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20(Ι) του 2005</w:t>
            </w:r>
          </w:p>
          <w:p w:rsidR="00791319" w:rsidRPr="00791319" w:rsidRDefault="00791319" w:rsidP="00C457AF">
            <w:pPr>
              <w:spacing w:after="0" w:line="240" w:lineRule="auto"/>
              <w:ind w:left="449"/>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80(Ι) του 2008</w:t>
            </w:r>
          </w:p>
          <w:p w:rsidR="00791319" w:rsidRPr="00791319" w:rsidRDefault="00791319" w:rsidP="00C457AF">
            <w:pPr>
              <w:spacing w:after="0" w:line="240" w:lineRule="auto"/>
              <w:ind w:left="449"/>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100(Ι) του 2009</w:t>
            </w:r>
          </w:p>
          <w:p w:rsidR="00791319" w:rsidRPr="00791319" w:rsidRDefault="00791319" w:rsidP="00C457AF">
            <w:pPr>
              <w:spacing w:after="0" w:line="240" w:lineRule="auto"/>
              <w:ind w:left="449"/>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123(Ι) του 2009</w:t>
            </w:r>
          </w:p>
          <w:p w:rsidR="00791319" w:rsidRPr="00791319" w:rsidRDefault="00791319" w:rsidP="00C457AF">
            <w:pPr>
              <w:spacing w:after="0" w:line="240" w:lineRule="auto"/>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27(Ι) του 2011</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104(Ι) του 2011</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107(Ι) του 2012</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14(Ι) του 2013</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87(I) του 2013</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102(I) του 2013</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 xml:space="preserve"> 141(Ι) του 2013 </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 xml:space="preserve">5(Ι) του 2015 </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26(Ι) του 2015</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35(Ι) του 2015</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71(Ι) του 2015</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93(Ι) του 2015</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109(Ι) του 2015</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152(Ι) του 2015</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168(Ι) του 2015</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 xml:space="preserve">21(Ι) του 2016 </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 xml:space="preserve">5(I) του 2017 </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38(I) του 2017</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169(I) του 2017</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28(I) του 2018</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89(I) του 2018</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153(Ι) του 2018</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80(Ι) του 2019</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149(Ι) του 2019</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2</w:t>
            </w:r>
            <w:r w:rsidR="00C5106C" w:rsidRPr="00676CDD">
              <w:rPr>
                <w:rFonts w:ascii="Arial" w:eastAsia="Arial Unicode MS" w:hAnsi="Arial" w:cs="Arial"/>
                <w:sz w:val="18"/>
                <w:szCs w:val="18"/>
                <w:lang w:eastAsia="el-GR"/>
              </w:rPr>
              <w:t>1</w:t>
            </w:r>
            <w:r w:rsidRPr="00791319">
              <w:rPr>
                <w:rFonts w:ascii="Arial" w:eastAsia="Arial Unicode MS" w:hAnsi="Arial" w:cs="Arial"/>
                <w:sz w:val="18"/>
                <w:szCs w:val="18"/>
                <w:lang w:eastAsia="el-GR"/>
              </w:rPr>
              <w:t>(Ι) του 2020</w:t>
            </w:r>
          </w:p>
          <w:p w:rsidR="00791319" w:rsidRPr="00791319" w:rsidRDefault="00791319" w:rsidP="00C457AF">
            <w:pPr>
              <w:spacing w:after="0" w:line="240" w:lineRule="auto"/>
              <w:ind w:left="24" w:firstLine="425"/>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    </w:t>
            </w:r>
            <w:r>
              <w:rPr>
                <w:rFonts w:ascii="Arial" w:eastAsia="Arial Unicode MS" w:hAnsi="Arial" w:cs="Arial"/>
                <w:sz w:val="18"/>
                <w:szCs w:val="18"/>
                <w:lang w:eastAsia="el-GR"/>
              </w:rPr>
              <w:t xml:space="preserve"> </w:t>
            </w:r>
            <w:r w:rsidRPr="00791319">
              <w:rPr>
                <w:rFonts w:ascii="Arial" w:eastAsia="Arial Unicode MS" w:hAnsi="Arial" w:cs="Arial"/>
                <w:sz w:val="18"/>
                <w:szCs w:val="18"/>
                <w:lang w:eastAsia="el-GR"/>
              </w:rPr>
              <w:t xml:space="preserve">73(Ι) του 2020          </w:t>
            </w:r>
          </w:p>
          <w:p w:rsidR="00C5106C" w:rsidRPr="00C5106C" w:rsidRDefault="0058631A" w:rsidP="00C457AF">
            <w:pPr>
              <w:spacing w:after="0" w:line="240" w:lineRule="auto"/>
              <w:contextualSpacing/>
              <w:mirrorIndents/>
              <w:jc w:val="both"/>
              <w:rPr>
                <w:rFonts w:ascii="Arial" w:eastAsia="Arial Unicode MS" w:hAnsi="Arial" w:cs="Arial"/>
                <w:sz w:val="18"/>
                <w:szCs w:val="18"/>
                <w:lang w:eastAsia="el-GR"/>
              </w:rPr>
            </w:pPr>
            <w:r>
              <w:rPr>
                <w:rFonts w:ascii="Arial" w:eastAsia="Arial Unicode MS" w:hAnsi="Arial" w:cs="Arial"/>
                <w:sz w:val="18"/>
                <w:szCs w:val="18"/>
                <w:lang w:eastAsia="el-GR"/>
              </w:rPr>
              <w:t xml:space="preserve">              </w:t>
            </w:r>
            <w:r w:rsidR="00C5106C">
              <w:t xml:space="preserve">  </w:t>
            </w:r>
            <w:r w:rsidR="00C5106C" w:rsidRPr="00C5106C">
              <w:rPr>
                <w:rFonts w:ascii="Arial" w:eastAsia="Arial Unicode MS" w:hAnsi="Arial" w:cs="Arial"/>
                <w:sz w:val="18"/>
                <w:szCs w:val="18"/>
                <w:lang w:eastAsia="el-GR"/>
              </w:rPr>
              <w:t xml:space="preserve">28(I) </w:t>
            </w:r>
            <w:r w:rsidR="00C5106C">
              <w:rPr>
                <w:rFonts w:ascii="Arial" w:eastAsia="Arial Unicode MS" w:hAnsi="Arial" w:cs="Arial"/>
                <w:sz w:val="18"/>
                <w:szCs w:val="18"/>
                <w:lang w:eastAsia="el-GR"/>
              </w:rPr>
              <w:t xml:space="preserve">του </w:t>
            </w:r>
            <w:r w:rsidR="00C5106C" w:rsidRPr="00C5106C">
              <w:rPr>
                <w:rFonts w:ascii="Arial" w:eastAsia="Arial Unicode MS" w:hAnsi="Arial" w:cs="Arial"/>
                <w:sz w:val="18"/>
                <w:szCs w:val="18"/>
                <w:lang w:eastAsia="el-GR"/>
              </w:rPr>
              <w:t>2021</w:t>
            </w:r>
          </w:p>
          <w:p w:rsidR="00C5106C" w:rsidRPr="00C5106C" w:rsidRDefault="00C5106C" w:rsidP="00C457AF">
            <w:pPr>
              <w:spacing w:after="0" w:line="240" w:lineRule="auto"/>
              <w:contextualSpacing/>
              <w:mirrorIndents/>
              <w:jc w:val="both"/>
              <w:rPr>
                <w:rFonts w:ascii="Arial" w:eastAsia="Arial Unicode MS" w:hAnsi="Arial" w:cs="Arial"/>
                <w:sz w:val="18"/>
                <w:szCs w:val="18"/>
                <w:lang w:eastAsia="el-GR"/>
              </w:rPr>
            </w:pPr>
            <w:r>
              <w:rPr>
                <w:rFonts w:ascii="Arial" w:eastAsia="Arial Unicode MS" w:hAnsi="Arial" w:cs="Arial"/>
                <w:sz w:val="18"/>
                <w:szCs w:val="18"/>
                <w:lang w:eastAsia="el-GR"/>
              </w:rPr>
              <w:t xml:space="preserve">                 </w:t>
            </w:r>
            <w:r w:rsidRPr="00C5106C">
              <w:rPr>
                <w:rFonts w:ascii="Arial" w:eastAsia="Arial Unicode MS" w:hAnsi="Arial" w:cs="Arial"/>
                <w:sz w:val="18"/>
                <w:szCs w:val="18"/>
                <w:lang w:eastAsia="el-GR"/>
              </w:rPr>
              <w:t>94(I)</w:t>
            </w:r>
            <w:r>
              <w:rPr>
                <w:rFonts w:ascii="Arial" w:eastAsia="Arial Unicode MS" w:hAnsi="Arial" w:cs="Arial"/>
                <w:sz w:val="18"/>
                <w:szCs w:val="18"/>
                <w:lang w:eastAsia="el-GR"/>
              </w:rPr>
              <w:t xml:space="preserve"> του </w:t>
            </w:r>
            <w:r w:rsidRPr="00C5106C">
              <w:rPr>
                <w:rFonts w:ascii="Arial" w:eastAsia="Arial Unicode MS" w:hAnsi="Arial" w:cs="Arial"/>
                <w:sz w:val="18"/>
                <w:szCs w:val="18"/>
                <w:lang w:eastAsia="el-GR"/>
              </w:rPr>
              <w:t>2021</w:t>
            </w:r>
          </w:p>
          <w:p w:rsidR="0058631A" w:rsidRDefault="00C5106C" w:rsidP="00C457AF">
            <w:pPr>
              <w:spacing w:after="0" w:line="240" w:lineRule="auto"/>
              <w:contextualSpacing/>
              <w:mirrorIndents/>
              <w:jc w:val="both"/>
              <w:rPr>
                <w:rFonts w:ascii="Arial" w:eastAsia="Arial Unicode MS" w:hAnsi="Arial" w:cs="Arial"/>
                <w:sz w:val="18"/>
                <w:szCs w:val="18"/>
                <w:lang w:eastAsia="el-GR"/>
              </w:rPr>
            </w:pPr>
            <w:r>
              <w:rPr>
                <w:rFonts w:ascii="Arial" w:eastAsia="Arial Unicode MS" w:hAnsi="Arial" w:cs="Arial"/>
                <w:sz w:val="18"/>
                <w:szCs w:val="18"/>
                <w:lang w:eastAsia="el-GR"/>
              </w:rPr>
              <w:t xml:space="preserve">        </w:t>
            </w:r>
            <w:r w:rsidR="00DA3397">
              <w:rPr>
                <w:rFonts w:ascii="Arial" w:eastAsia="Arial Unicode MS" w:hAnsi="Arial" w:cs="Arial"/>
                <w:sz w:val="18"/>
                <w:szCs w:val="18"/>
                <w:lang w:eastAsia="el-GR"/>
              </w:rPr>
              <w:t xml:space="preserve">        </w:t>
            </w:r>
            <w:r w:rsidRPr="00C5106C">
              <w:rPr>
                <w:rFonts w:ascii="Arial" w:eastAsia="Arial Unicode MS" w:hAnsi="Arial" w:cs="Arial"/>
                <w:sz w:val="18"/>
                <w:szCs w:val="18"/>
                <w:lang w:eastAsia="el-GR"/>
              </w:rPr>
              <w:t>95(I)</w:t>
            </w:r>
            <w:r>
              <w:rPr>
                <w:rFonts w:ascii="Arial" w:eastAsia="Arial Unicode MS" w:hAnsi="Arial" w:cs="Arial"/>
                <w:sz w:val="18"/>
                <w:szCs w:val="18"/>
                <w:lang w:eastAsia="el-GR"/>
              </w:rPr>
              <w:t xml:space="preserve"> του </w:t>
            </w:r>
            <w:r w:rsidRPr="00C5106C">
              <w:rPr>
                <w:rFonts w:ascii="Arial" w:eastAsia="Arial Unicode MS" w:hAnsi="Arial" w:cs="Arial"/>
                <w:sz w:val="18"/>
                <w:szCs w:val="18"/>
                <w:lang w:eastAsia="el-GR"/>
              </w:rPr>
              <w:t>2021</w:t>
            </w:r>
          </w:p>
          <w:p w:rsidR="0058631A" w:rsidRDefault="0058631A" w:rsidP="00C457AF">
            <w:pPr>
              <w:spacing w:after="0" w:line="240" w:lineRule="auto"/>
              <w:contextualSpacing/>
              <w:mirrorIndents/>
              <w:jc w:val="both"/>
              <w:rPr>
                <w:rFonts w:ascii="Arial" w:eastAsia="Arial Unicode MS" w:hAnsi="Arial" w:cs="Arial"/>
                <w:sz w:val="18"/>
                <w:szCs w:val="18"/>
                <w:lang w:eastAsia="el-GR"/>
              </w:rPr>
            </w:pPr>
            <w:r>
              <w:rPr>
                <w:rFonts w:ascii="Arial" w:eastAsia="Arial Unicode MS" w:hAnsi="Arial" w:cs="Arial"/>
                <w:sz w:val="18"/>
                <w:szCs w:val="18"/>
                <w:lang w:eastAsia="el-GR"/>
              </w:rPr>
              <w:t xml:space="preserve">          </w:t>
            </w:r>
            <w:r w:rsidR="003F047E">
              <w:rPr>
                <w:rFonts w:ascii="Arial" w:eastAsia="Arial Unicode MS" w:hAnsi="Arial" w:cs="Arial"/>
                <w:sz w:val="18"/>
                <w:szCs w:val="18"/>
                <w:lang w:eastAsia="el-GR"/>
              </w:rPr>
              <w:t>162</w:t>
            </w:r>
            <w:r>
              <w:rPr>
                <w:rFonts w:ascii="Arial" w:eastAsia="Arial Unicode MS" w:hAnsi="Arial" w:cs="Arial"/>
                <w:sz w:val="18"/>
                <w:szCs w:val="18"/>
                <w:lang w:eastAsia="el-GR"/>
              </w:rPr>
              <w:t>(Ι) του 202</w:t>
            </w:r>
            <w:r w:rsidR="00C5106C">
              <w:rPr>
                <w:rFonts w:ascii="Arial" w:eastAsia="Arial Unicode MS" w:hAnsi="Arial" w:cs="Arial"/>
                <w:sz w:val="18"/>
                <w:szCs w:val="18"/>
                <w:lang w:eastAsia="el-GR"/>
              </w:rPr>
              <w:t>1</w:t>
            </w:r>
          </w:p>
          <w:p w:rsidR="00DA3397" w:rsidRDefault="0058631A" w:rsidP="00C457AF">
            <w:pPr>
              <w:spacing w:after="0" w:line="240" w:lineRule="auto"/>
              <w:contextualSpacing/>
              <w:mirrorIndents/>
              <w:jc w:val="both"/>
              <w:rPr>
                <w:rFonts w:ascii="Arial" w:eastAsia="Arial Unicode MS" w:hAnsi="Arial" w:cs="Arial"/>
                <w:sz w:val="18"/>
                <w:szCs w:val="18"/>
                <w:lang w:eastAsia="el-GR"/>
              </w:rPr>
            </w:pPr>
            <w:r>
              <w:rPr>
                <w:rFonts w:ascii="Arial" w:eastAsia="Arial Unicode MS" w:hAnsi="Arial" w:cs="Arial"/>
                <w:sz w:val="18"/>
                <w:szCs w:val="18"/>
                <w:lang w:eastAsia="el-GR"/>
              </w:rPr>
              <w:t xml:space="preserve">         </w:t>
            </w:r>
            <w:r w:rsidR="00DA3397">
              <w:rPr>
                <w:rFonts w:ascii="Arial" w:eastAsia="Arial Unicode MS" w:hAnsi="Arial" w:cs="Arial"/>
                <w:sz w:val="18"/>
                <w:szCs w:val="18"/>
                <w:lang w:eastAsia="el-GR"/>
              </w:rPr>
              <w:t xml:space="preserve"> </w:t>
            </w:r>
            <w:r w:rsidR="003F047E">
              <w:rPr>
                <w:rFonts w:ascii="Arial" w:eastAsia="Arial Unicode MS" w:hAnsi="Arial" w:cs="Arial"/>
                <w:sz w:val="18"/>
                <w:szCs w:val="18"/>
                <w:lang w:eastAsia="el-GR"/>
              </w:rPr>
              <w:t>163</w:t>
            </w:r>
            <w:r>
              <w:rPr>
                <w:rFonts w:ascii="Arial" w:eastAsia="Arial Unicode MS" w:hAnsi="Arial" w:cs="Arial"/>
                <w:sz w:val="18"/>
                <w:szCs w:val="18"/>
                <w:lang w:eastAsia="el-GR"/>
              </w:rPr>
              <w:t>(Ι) του 202</w:t>
            </w:r>
            <w:r w:rsidR="00C5106C">
              <w:rPr>
                <w:rFonts w:ascii="Arial" w:eastAsia="Arial Unicode MS" w:hAnsi="Arial" w:cs="Arial"/>
                <w:sz w:val="18"/>
                <w:szCs w:val="18"/>
                <w:lang w:eastAsia="el-GR"/>
              </w:rPr>
              <w:t>1</w:t>
            </w:r>
          </w:p>
          <w:p w:rsidR="00DA3397" w:rsidRPr="00DA3397" w:rsidRDefault="00DA3397" w:rsidP="00C457AF">
            <w:pPr>
              <w:spacing w:after="0" w:line="240" w:lineRule="auto"/>
              <w:contextualSpacing/>
              <w:mirrorIndents/>
              <w:jc w:val="both"/>
              <w:rPr>
                <w:rFonts w:ascii="Arial" w:eastAsia="Arial Unicode MS" w:hAnsi="Arial" w:cs="Arial"/>
                <w:sz w:val="18"/>
                <w:szCs w:val="18"/>
                <w:lang w:eastAsia="el-GR"/>
              </w:rPr>
            </w:pPr>
            <w:r>
              <w:rPr>
                <w:rFonts w:ascii="Arial" w:eastAsia="Arial Unicode MS" w:hAnsi="Arial" w:cs="Arial"/>
                <w:sz w:val="18"/>
                <w:szCs w:val="18"/>
                <w:lang w:eastAsia="el-GR"/>
              </w:rPr>
              <w:t xml:space="preserve">                 </w:t>
            </w:r>
            <w:r w:rsidRPr="00DA3397">
              <w:rPr>
                <w:rFonts w:ascii="Arial" w:eastAsia="Arial Unicode MS" w:hAnsi="Arial" w:cs="Arial"/>
                <w:sz w:val="18"/>
                <w:szCs w:val="18"/>
                <w:lang w:eastAsia="el-GR"/>
              </w:rPr>
              <w:t>61(I)</w:t>
            </w:r>
            <w:r>
              <w:rPr>
                <w:rFonts w:ascii="Arial" w:eastAsia="Arial Unicode MS" w:hAnsi="Arial" w:cs="Arial"/>
                <w:sz w:val="18"/>
                <w:szCs w:val="18"/>
                <w:lang w:eastAsia="el-GR"/>
              </w:rPr>
              <w:t xml:space="preserve"> του </w:t>
            </w:r>
            <w:r w:rsidRPr="00DA3397">
              <w:rPr>
                <w:rFonts w:ascii="Arial" w:eastAsia="Arial Unicode MS" w:hAnsi="Arial" w:cs="Arial"/>
                <w:sz w:val="18"/>
                <w:szCs w:val="18"/>
                <w:lang w:eastAsia="el-GR"/>
              </w:rPr>
              <w:t>2022</w:t>
            </w:r>
          </w:p>
          <w:p w:rsidR="00DA3397" w:rsidRPr="00DA3397" w:rsidRDefault="00DA3397" w:rsidP="00C457AF">
            <w:pPr>
              <w:spacing w:after="0" w:line="240" w:lineRule="auto"/>
              <w:contextualSpacing/>
              <w:mirrorIndents/>
              <w:jc w:val="both"/>
              <w:rPr>
                <w:rFonts w:ascii="Arial" w:eastAsia="Arial Unicode MS" w:hAnsi="Arial" w:cs="Arial"/>
                <w:sz w:val="18"/>
                <w:szCs w:val="18"/>
                <w:lang w:eastAsia="el-GR"/>
              </w:rPr>
            </w:pPr>
            <w:r>
              <w:rPr>
                <w:rFonts w:ascii="Arial" w:eastAsia="Arial Unicode MS" w:hAnsi="Arial" w:cs="Arial"/>
                <w:sz w:val="18"/>
                <w:szCs w:val="18"/>
                <w:lang w:eastAsia="el-GR"/>
              </w:rPr>
              <w:t xml:space="preserve">                 </w:t>
            </w:r>
            <w:r w:rsidRPr="00DA3397">
              <w:rPr>
                <w:rFonts w:ascii="Arial" w:eastAsia="Arial Unicode MS" w:hAnsi="Arial" w:cs="Arial"/>
                <w:sz w:val="18"/>
                <w:szCs w:val="18"/>
                <w:lang w:eastAsia="el-GR"/>
              </w:rPr>
              <w:t>62(I)</w:t>
            </w:r>
            <w:r>
              <w:rPr>
                <w:rFonts w:ascii="Arial" w:eastAsia="Arial Unicode MS" w:hAnsi="Arial" w:cs="Arial"/>
                <w:sz w:val="18"/>
                <w:szCs w:val="18"/>
                <w:lang w:eastAsia="el-GR"/>
              </w:rPr>
              <w:t xml:space="preserve"> του </w:t>
            </w:r>
            <w:r w:rsidRPr="00DA3397">
              <w:rPr>
                <w:rFonts w:ascii="Arial" w:eastAsia="Arial Unicode MS" w:hAnsi="Arial" w:cs="Arial"/>
                <w:sz w:val="18"/>
                <w:szCs w:val="18"/>
                <w:lang w:eastAsia="el-GR"/>
              </w:rPr>
              <w:t>2022</w:t>
            </w:r>
          </w:p>
          <w:p w:rsidR="0058631A" w:rsidRPr="0058631A" w:rsidRDefault="00DA3397" w:rsidP="00C457AF">
            <w:pPr>
              <w:spacing w:after="0" w:line="240" w:lineRule="auto"/>
              <w:contextualSpacing/>
              <w:mirrorIndents/>
              <w:jc w:val="both"/>
              <w:rPr>
                <w:rFonts w:ascii="Arial" w:eastAsia="Arial Unicode MS" w:hAnsi="Arial" w:cs="Arial"/>
                <w:sz w:val="18"/>
                <w:szCs w:val="18"/>
                <w:lang w:eastAsia="el-GR"/>
              </w:rPr>
            </w:pPr>
            <w:r>
              <w:rPr>
                <w:rFonts w:ascii="Arial" w:eastAsia="Arial Unicode MS" w:hAnsi="Arial" w:cs="Arial"/>
                <w:sz w:val="18"/>
                <w:szCs w:val="18"/>
                <w:lang w:eastAsia="el-GR"/>
              </w:rPr>
              <w:t xml:space="preserve">             </w:t>
            </w:r>
            <w:r w:rsidRPr="00DA3397">
              <w:rPr>
                <w:rFonts w:ascii="Arial" w:eastAsia="Arial Unicode MS" w:hAnsi="Arial" w:cs="Arial"/>
                <w:sz w:val="18"/>
                <w:szCs w:val="18"/>
                <w:lang w:eastAsia="el-GR"/>
              </w:rPr>
              <w:t>162(Ι)</w:t>
            </w:r>
            <w:r>
              <w:rPr>
                <w:rFonts w:ascii="Arial" w:eastAsia="Arial Unicode MS" w:hAnsi="Arial" w:cs="Arial"/>
                <w:sz w:val="18"/>
                <w:szCs w:val="18"/>
                <w:lang w:eastAsia="el-GR"/>
              </w:rPr>
              <w:t xml:space="preserve"> του </w:t>
            </w:r>
            <w:r w:rsidRPr="00DA3397">
              <w:rPr>
                <w:rFonts w:ascii="Arial" w:eastAsia="Arial Unicode MS" w:hAnsi="Arial" w:cs="Arial"/>
                <w:sz w:val="18"/>
                <w:szCs w:val="18"/>
                <w:lang w:eastAsia="el-GR"/>
              </w:rPr>
              <w:t>2022</w:t>
            </w:r>
            <w:r>
              <w:rPr>
                <w:rFonts w:ascii="Arial" w:eastAsia="Arial Unicode MS" w:hAnsi="Arial" w:cs="Arial"/>
                <w:sz w:val="18"/>
                <w:szCs w:val="18"/>
                <w:lang w:eastAsia="el-GR"/>
              </w:rPr>
              <w:t>.</w:t>
            </w:r>
            <w:r w:rsidR="0058631A">
              <w:rPr>
                <w:rFonts w:ascii="Arial" w:eastAsia="Arial Unicode MS" w:hAnsi="Arial" w:cs="Arial"/>
                <w:sz w:val="18"/>
                <w:szCs w:val="18"/>
                <w:lang w:eastAsia="el-GR"/>
              </w:rPr>
              <w:t xml:space="preserve"> </w:t>
            </w:r>
          </w:p>
          <w:p w:rsidR="00791319" w:rsidRPr="00791319" w:rsidRDefault="00791319" w:rsidP="00C457AF">
            <w:pPr>
              <w:spacing w:after="0" w:line="240" w:lineRule="auto"/>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Επίσημη Εφημερίδα, </w:t>
            </w:r>
          </w:p>
          <w:p w:rsidR="00791319" w:rsidRPr="00791319" w:rsidRDefault="00791319" w:rsidP="00C457AF">
            <w:pPr>
              <w:spacing w:after="0" w:line="240" w:lineRule="auto"/>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 xml:space="preserve">Παράρτημα </w:t>
            </w:r>
          </w:p>
          <w:p w:rsidR="00791319" w:rsidRPr="00791319" w:rsidRDefault="00791319" w:rsidP="00C457AF">
            <w:pPr>
              <w:spacing w:after="0" w:line="240" w:lineRule="auto"/>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Πρώτο (Ι):</w:t>
            </w:r>
          </w:p>
          <w:p w:rsidR="00791319" w:rsidRPr="00791319" w:rsidRDefault="00791319" w:rsidP="00C457AF">
            <w:pPr>
              <w:spacing w:after="0" w:line="240" w:lineRule="auto"/>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22.8.1997</w:t>
            </w:r>
          </w:p>
          <w:p w:rsidR="00791319" w:rsidRPr="00791319" w:rsidRDefault="00791319" w:rsidP="00C457AF">
            <w:pPr>
              <w:spacing w:after="0" w:line="240" w:lineRule="auto"/>
              <w:contextualSpacing/>
              <w:mirrorIndents/>
              <w:jc w:val="both"/>
              <w:rPr>
                <w:rFonts w:ascii="Arial" w:eastAsia="Arial Unicode MS" w:hAnsi="Arial" w:cs="Arial"/>
                <w:sz w:val="18"/>
                <w:szCs w:val="18"/>
                <w:lang w:eastAsia="el-GR"/>
              </w:rPr>
            </w:pPr>
            <w:r w:rsidRPr="00791319">
              <w:rPr>
                <w:rFonts w:ascii="Arial" w:eastAsia="Arial Unicode MS" w:hAnsi="Arial" w:cs="Arial"/>
                <w:sz w:val="18"/>
                <w:szCs w:val="18"/>
                <w:lang w:eastAsia="el-GR"/>
              </w:rPr>
              <w:t>19.9.2003</w:t>
            </w:r>
          </w:p>
          <w:p w:rsidR="00992D09" w:rsidRPr="00C5106C" w:rsidRDefault="00791319" w:rsidP="00C457AF">
            <w:pPr>
              <w:spacing w:after="0" w:line="240" w:lineRule="auto"/>
              <w:contextualSpacing/>
              <w:mirrorIndents/>
              <w:jc w:val="both"/>
              <w:rPr>
                <w:rFonts w:ascii="Arial" w:eastAsia="Arial Unicode MS" w:hAnsi="Arial" w:cs="Arial"/>
                <w:sz w:val="18"/>
                <w:szCs w:val="18"/>
                <w:lang w:val="en-GB" w:eastAsia="el-GR"/>
              </w:rPr>
            </w:pPr>
            <w:r w:rsidRPr="00791319">
              <w:rPr>
                <w:rFonts w:ascii="Arial" w:eastAsia="Arial Unicode MS" w:hAnsi="Arial" w:cs="Arial"/>
                <w:sz w:val="18"/>
                <w:szCs w:val="18"/>
                <w:lang w:eastAsia="el-GR"/>
              </w:rPr>
              <w:t>10.6.2019</w:t>
            </w:r>
            <w:r w:rsidR="00C5106C">
              <w:rPr>
                <w:rFonts w:ascii="Arial" w:eastAsia="Arial Unicode MS" w:hAnsi="Arial" w:cs="Arial"/>
                <w:sz w:val="18"/>
                <w:szCs w:val="18"/>
                <w:lang w:val="en-GB" w:eastAsia="el-GR"/>
              </w:rPr>
              <w:t>.</w:t>
            </w:r>
          </w:p>
        </w:tc>
        <w:tc>
          <w:tcPr>
            <w:tcW w:w="581" w:type="dxa"/>
            <w:hideMark/>
          </w:tcPr>
          <w:p w:rsidR="00992D09" w:rsidRPr="000245F9" w:rsidRDefault="00992D09" w:rsidP="00C457AF">
            <w:pPr>
              <w:spacing w:after="0" w:line="240" w:lineRule="auto"/>
              <w:contextualSpacing/>
              <w:mirrorIndents/>
              <w:jc w:val="both"/>
              <w:rPr>
                <w:rFonts w:ascii="Arial" w:eastAsia="Arial Unicode MS" w:hAnsi="Arial" w:cs="Arial"/>
                <w:lang w:eastAsia="el-GR"/>
              </w:rPr>
            </w:pPr>
            <w:r w:rsidRPr="000245F9">
              <w:rPr>
                <w:rFonts w:ascii="Arial" w:eastAsia="Arial Unicode MS" w:hAnsi="Arial" w:cs="Arial"/>
                <w:lang w:eastAsia="el-GR"/>
              </w:rPr>
              <w:t xml:space="preserve">1. </w:t>
            </w:r>
          </w:p>
        </w:tc>
        <w:tc>
          <w:tcPr>
            <w:tcW w:w="6592" w:type="dxa"/>
            <w:hideMark/>
          </w:tcPr>
          <w:p w:rsidR="00992D09" w:rsidRPr="000245F9" w:rsidRDefault="002D24C4" w:rsidP="00C457AF">
            <w:pPr>
              <w:spacing w:after="0" w:line="240" w:lineRule="auto"/>
              <w:contextualSpacing/>
              <w:mirrorIndents/>
              <w:jc w:val="both"/>
              <w:rPr>
                <w:rFonts w:ascii="Arial" w:eastAsia="Arial Unicode MS" w:hAnsi="Arial" w:cs="Arial"/>
                <w:lang w:eastAsia="el-GR"/>
              </w:rPr>
            </w:pPr>
            <w:r w:rsidRPr="000245F9">
              <w:rPr>
                <w:rFonts w:ascii="Arial" w:eastAsia="Arial Unicode MS" w:hAnsi="Arial" w:cs="Arial"/>
                <w:lang w:eastAsia="el-GR"/>
              </w:rPr>
              <w:t>Ο παρών Νόμος θα αναφέρεται ως ο περί Εργασιών Πιστωτικών Ιδρυμάτων (Τροποποιητικός) (</w:t>
            </w:r>
            <w:proofErr w:type="spellStart"/>
            <w:r w:rsidRPr="000245F9">
              <w:rPr>
                <w:rFonts w:ascii="Arial" w:eastAsia="Arial Unicode MS" w:hAnsi="Arial" w:cs="Arial"/>
                <w:lang w:eastAsia="el-GR"/>
              </w:rPr>
              <w:t>Αρ</w:t>
            </w:r>
            <w:proofErr w:type="spellEnd"/>
            <w:r w:rsidRPr="000245F9">
              <w:rPr>
                <w:rFonts w:ascii="Arial" w:eastAsia="Arial Unicode MS" w:hAnsi="Arial" w:cs="Arial"/>
                <w:lang w:eastAsia="el-GR"/>
              </w:rPr>
              <w:t xml:space="preserve">. </w:t>
            </w:r>
            <w:r w:rsidR="00C5106C">
              <w:rPr>
                <w:rFonts w:ascii="Arial" w:eastAsia="Arial Unicode MS" w:hAnsi="Arial" w:cs="Arial"/>
                <w:lang w:val="en-GB" w:eastAsia="el-GR"/>
              </w:rPr>
              <w:t>XX</w:t>
            </w:r>
            <w:r w:rsidRPr="000245F9">
              <w:rPr>
                <w:rFonts w:ascii="Arial" w:eastAsia="Arial Unicode MS" w:hAnsi="Arial" w:cs="Arial"/>
                <w:lang w:eastAsia="el-GR"/>
              </w:rPr>
              <w:t>) Νόμος του 202</w:t>
            </w:r>
            <w:r w:rsidR="006E68D9">
              <w:rPr>
                <w:rFonts w:ascii="Arial" w:eastAsia="Arial Unicode MS" w:hAnsi="Arial" w:cs="Arial"/>
                <w:lang w:eastAsia="el-GR"/>
              </w:rPr>
              <w:t>3</w:t>
            </w:r>
            <w:r w:rsidRPr="000245F9">
              <w:rPr>
                <w:rFonts w:ascii="Arial" w:eastAsia="Arial Unicode MS" w:hAnsi="Arial" w:cs="Arial"/>
                <w:lang w:eastAsia="el-GR"/>
              </w:rPr>
              <w:t xml:space="preserve"> και θα διαβάζεται μαζί με τους περί Εργασιών Πιστωτικών Ιδρυμάτων Νόμους του 1997 έως (</w:t>
            </w:r>
            <w:proofErr w:type="spellStart"/>
            <w:r w:rsidRPr="000245F9">
              <w:rPr>
                <w:rFonts w:ascii="Arial" w:eastAsia="Arial Unicode MS" w:hAnsi="Arial" w:cs="Arial"/>
                <w:lang w:eastAsia="el-GR"/>
              </w:rPr>
              <w:t>Αρ</w:t>
            </w:r>
            <w:proofErr w:type="spellEnd"/>
            <w:r w:rsidRPr="000245F9">
              <w:rPr>
                <w:rFonts w:ascii="Arial" w:eastAsia="Arial Unicode MS" w:hAnsi="Arial" w:cs="Arial"/>
                <w:lang w:eastAsia="el-GR"/>
              </w:rPr>
              <w:t>.</w:t>
            </w:r>
            <w:r w:rsidR="00791319" w:rsidRPr="000245F9">
              <w:rPr>
                <w:rFonts w:ascii="Arial" w:eastAsia="Arial Unicode MS" w:hAnsi="Arial" w:cs="Arial"/>
                <w:lang w:eastAsia="el-GR"/>
              </w:rPr>
              <w:t xml:space="preserve"> </w:t>
            </w:r>
            <w:r w:rsidR="00DA3397">
              <w:rPr>
                <w:rFonts w:ascii="Arial" w:eastAsia="Arial Unicode MS" w:hAnsi="Arial" w:cs="Arial"/>
                <w:lang w:eastAsia="el-GR"/>
              </w:rPr>
              <w:t>3</w:t>
            </w:r>
            <w:r w:rsidRPr="000245F9">
              <w:rPr>
                <w:rFonts w:ascii="Arial" w:eastAsia="Arial Unicode MS" w:hAnsi="Arial" w:cs="Arial"/>
                <w:lang w:eastAsia="el-GR"/>
              </w:rPr>
              <w:t>) του 202</w:t>
            </w:r>
            <w:r w:rsidR="00DA3397">
              <w:rPr>
                <w:rFonts w:ascii="Arial" w:eastAsia="Arial Unicode MS" w:hAnsi="Arial" w:cs="Arial"/>
                <w:lang w:eastAsia="el-GR"/>
              </w:rPr>
              <w:t>2</w:t>
            </w:r>
            <w:r w:rsidRPr="000245F9">
              <w:rPr>
                <w:rFonts w:ascii="Arial" w:eastAsia="Arial Unicode MS" w:hAnsi="Arial" w:cs="Arial"/>
                <w:lang w:eastAsia="el-GR"/>
              </w:rPr>
              <w:t xml:space="preserve"> (που στο εξής θα αναφέρονται ως «ο βασικός νόμος») και ο βασικός νόμος και ο παρών Νόμος θα αναφέρονται μαζί ως οι περί Εργασιών Πιστωτικών Ιδρυμάτων Νόμοι του 1997 έως (</w:t>
            </w:r>
            <w:proofErr w:type="spellStart"/>
            <w:r w:rsidRPr="000245F9">
              <w:rPr>
                <w:rFonts w:ascii="Arial" w:eastAsia="Arial Unicode MS" w:hAnsi="Arial" w:cs="Arial"/>
                <w:lang w:eastAsia="el-GR"/>
              </w:rPr>
              <w:t>Αρ</w:t>
            </w:r>
            <w:proofErr w:type="spellEnd"/>
            <w:r w:rsidRPr="000245F9">
              <w:rPr>
                <w:rFonts w:ascii="Arial" w:eastAsia="Arial Unicode MS" w:hAnsi="Arial" w:cs="Arial"/>
                <w:lang w:eastAsia="el-GR"/>
              </w:rPr>
              <w:t xml:space="preserve">. </w:t>
            </w:r>
            <w:r w:rsidR="00C5106C">
              <w:rPr>
                <w:rFonts w:ascii="Arial" w:eastAsia="Arial Unicode MS" w:hAnsi="Arial" w:cs="Arial"/>
                <w:lang w:val="en-GB" w:eastAsia="el-GR"/>
              </w:rPr>
              <w:t>XX</w:t>
            </w:r>
            <w:r w:rsidRPr="000245F9">
              <w:rPr>
                <w:rFonts w:ascii="Arial" w:eastAsia="Arial Unicode MS" w:hAnsi="Arial" w:cs="Arial"/>
                <w:lang w:eastAsia="el-GR"/>
              </w:rPr>
              <w:t>) του 202</w:t>
            </w:r>
            <w:r w:rsidR="006E68D9">
              <w:rPr>
                <w:rFonts w:ascii="Arial" w:eastAsia="Arial Unicode MS" w:hAnsi="Arial" w:cs="Arial"/>
                <w:lang w:eastAsia="el-GR"/>
              </w:rPr>
              <w:t>3</w:t>
            </w:r>
            <w:r w:rsidRPr="000245F9">
              <w:rPr>
                <w:rFonts w:ascii="Arial" w:eastAsia="Arial Unicode MS" w:hAnsi="Arial" w:cs="Arial"/>
                <w:lang w:eastAsia="el-GR"/>
              </w:rPr>
              <w:t>.</w:t>
            </w:r>
          </w:p>
        </w:tc>
      </w:tr>
      <w:tr w:rsidR="00100DB0" w:rsidRPr="00724FF6" w:rsidTr="00C457AF">
        <w:trPr>
          <w:trHeight w:val="242"/>
        </w:trPr>
        <w:tc>
          <w:tcPr>
            <w:tcW w:w="2189" w:type="dxa"/>
          </w:tcPr>
          <w:p w:rsidR="00100DB0" w:rsidRPr="00724FF6" w:rsidRDefault="00100DB0" w:rsidP="00C457AF">
            <w:pPr>
              <w:spacing w:after="0" w:line="240" w:lineRule="auto"/>
              <w:contextualSpacing/>
              <w:mirrorIndents/>
              <w:jc w:val="both"/>
              <w:rPr>
                <w:rFonts w:ascii="Arial" w:eastAsia="Arial Unicode MS" w:hAnsi="Arial" w:cs="Arial"/>
                <w:sz w:val="18"/>
                <w:szCs w:val="18"/>
                <w:lang w:eastAsia="el-GR"/>
              </w:rPr>
            </w:pPr>
          </w:p>
        </w:tc>
        <w:tc>
          <w:tcPr>
            <w:tcW w:w="581" w:type="dxa"/>
          </w:tcPr>
          <w:p w:rsidR="00100DB0" w:rsidRPr="000245F9" w:rsidRDefault="00100DB0" w:rsidP="00C457AF">
            <w:pPr>
              <w:spacing w:after="0" w:line="240" w:lineRule="auto"/>
              <w:contextualSpacing/>
              <w:mirrorIndents/>
              <w:jc w:val="both"/>
              <w:rPr>
                <w:rFonts w:ascii="Arial" w:eastAsia="Arial Unicode MS" w:hAnsi="Arial" w:cs="Arial"/>
                <w:lang w:eastAsia="el-GR"/>
              </w:rPr>
            </w:pPr>
          </w:p>
        </w:tc>
        <w:tc>
          <w:tcPr>
            <w:tcW w:w="6592" w:type="dxa"/>
          </w:tcPr>
          <w:p w:rsidR="00100DB0" w:rsidRPr="000245F9" w:rsidRDefault="00100DB0" w:rsidP="00C457AF">
            <w:pPr>
              <w:spacing w:after="0" w:line="240" w:lineRule="auto"/>
              <w:contextualSpacing/>
              <w:mirrorIndents/>
              <w:jc w:val="both"/>
              <w:rPr>
                <w:rFonts w:ascii="Arial" w:eastAsia="Arial Unicode MS" w:hAnsi="Arial" w:cs="Arial"/>
                <w:lang w:eastAsia="el-GR"/>
              </w:rPr>
            </w:pPr>
          </w:p>
        </w:tc>
      </w:tr>
      <w:tr w:rsidR="00703C9C" w:rsidRPr="00724FF6" w:rsidTr="00C457AF">
        <w:trPr>
          <w:trHeight w:val="561"/>
        </w:trPr>
        <w:tc>
          <w:tcPr>
            <w:tcW w:w="2189" w:type="dxa"/>
          </w:tcPr>
          <w:p w:rsidR="00703C9C" w:rsidRPr="00724FF6" w:rsidRDefault="00D11FA1" w:rsidP="00C457AF">
            <w:pPr>
              <w:tabs>
                <w:tab w:val="center" w:pos="953"/>
              </w:tabs>
              <w:spacing w:after="0" w:line="240" w:lineRule="auto"/>
              <w:contextualSpacing/>
              <w:mirrorIndents/>
              <w:jc w:val="both"/>
              <w:rPr>
                <w:rFonts w:ascii="Arial" w:eastAsia="Arial Unicode MS" w:hAnsi="Arial" w:cs="Arial"/>
                <w:sz w:val="18"/>
                <w:szCs w:val="18"/>
                <w:lang w:eastAsia="el-GR"/>
              </w:rPr>
            </w:pPr>
            <w:r>
              <w:rPr>
                <w:rFonts w:ascii="Arial" w:eastAsia="Arial Unicode MS" w:hAnsi="Arial" w:cs="Arial"/>
                <w:sz w:val="18"/>
                <w:szCs w:val="18"/>
                <w:lang w:eastAsia="el-GR"/>
              </w:rPr>
              <w:t xml:space="preserve">Τροποποίηση του άρθρου </w:t>
            </w:r>
            <w:r w:rsidR="00745A44">
              <w:rPr>
                <w:rFonts w:ascii="Arial" w:eastAsia="Arial Unicode MS" w:hAnsi="Arial" w:cs="Arial"/>
                <w:sz w:val="18"/>
                <w:szCs w:val="18"/>
                <w:lang w:eastAsia="el-GR"/>
              </w:rPr>
              <w:t>32Γ</w:t>
            </w:r>
            <w:r>
              <w:rPr>
                <w:rFonts w:ascii="Arial" w:eastAsia="Arial Unicode MS" w:hAnsi="Arial" w:cs="Arial"/>
                <w:sz w:val="18"/>
                <w:szCs w:val="18"/>
                <w:lang w:eastAsia="el-GR"/>
              </w:rPr>
              <w:t xml:space="preserve"> του βασικού νόμου. </w:t>
            </w:r>
          </w:p>
        </w:tc>
        <w:tc>
          <w:tcPr>
            <w:tcW w:w="581" w:type="dxa"/>
          </w:tcPr>
          <w:p w:rsidR="00703C9C" w:rsidRPr="000245F9" w:rsidRDefault="00703C9C" w:rsidP="00C457AF">
            <w:pPr>
              <w:spacing w:after="0" w:line="240" w:lineRule="auto"/>
              <w:contextualSpacing/>
              <w:mirrorIndents/>
              <w:jc w:val="both"/>
              <w:rPr>
                <w:rFonts w:ascii="Arial" w:eastAsia="Arial Unicode MS" w:hAnsi="Arial" w:cs="Arial"/>
                <w:lang w:val="en-GB" w:eastAsia="el-GR"/>
              </w:rPr>
            </w:pPr>
            <w:r w:rsidRPr="000245F9">
              <w:rPr>
                <w:rFonts w:ascii="Arial" w:eastAsia="Arial Unicode MS" w:hAnsi="Arial" w:cs="Arial"/>
                <w:lang w:val="en-GB" w:eastAsia="el-GR"/>
              </w:rPr>
              <w:t>2.</w:t>
            </w:r>
          </w:p>
        </w:tc>
        <w:tc>
          <w:tcPr>
            <w:tcW w:w="6592" w:type="dxa"/>
          </w:tcPr>
          <w:p w:rsidR="00703C9C" w:rsidRPr="000245F9" w:rsidRDefault="00747B6D" w:rsidP="00C457AF">
            <w:pPr>
              <w:spacing w:after="0" w:line="240" w:lineRule="auto"/>
              <w:contextualSpacing/>
              <w:mirrorIndents/>
              <w:jc w:val="both"/>
              <w:rPr>
                <w:rFonts w:ascii="Arial" w:eastAsia="Arial Unicode MS" w:hAnsi="Arial" w:cs="Arial"/>
                <w:lang w:eastAsia="el-GR"/>
              </w:rPr>
            </w:pPr>
            <w:r w:rsidRPr="000245F9">
              <w:rPr>
                <w:rFonts w:ascii="Arial" w:eastAsia="Arial Unicode MS" w:hAnsi="Arial" w:cs="Arial"/>
                <w:lang w:eastAsia="el-GR"/>
              </w:rPr>
              <w:t xml:space="preserve">Το άρθρο </w:t>
            </w:r>
            <w:r w:rsidR="00745A44" w:rsidRPr="000245F9">
              <w:rPr>
                <w:rFonts w:ascii="Arial" w:eastAsia="Arial Unicode MS" w:hAnsi="Arial" w:cs="Arial"/>
                <w:lang w:eastAsia="el-GR"/>
              </w:rPr>
              <w:t>32Γ</w:t>
            </w:r>
            <w:r w:rsidRPr="000245F9">
              <w:rPr>
                <w:rFonts w:ascii="Arial" w:eastAsia="Arial Unicode MS" w:hAnsi="Arial" w:cs="Arial"/>
                <w:lang w:eastAsia="el-GR"/>
              </w:rPr>
              <w:t xml:space="preserve"> του βασικού νόμου τροποποιείται ως ακολούθως:</w:t>
            </w:r>
          </w:p>
        </w:tc>
      </w:tr>
      <w:tr w:rsidR="00747B6D" w:rsidRPr="00724FF6" w:rsidTr="00C457AF">
        <w:trPr>
          <w:trHeight w:val="231"/>
        </w:trPr>
        <w:tc>
          <w:tcPr>
            <w:tcW w:w="2189" w:type="dxa"/>
          </w:tcPr>
          <w:p w:rsidR="00747B6D" w:rsidRPr="00724FF6" w:rsidRDefault="00747B6D" w:rsidP="00C457AF">
            <w:pPr>
              <w:spacing w:after="0" w:line="240" w:lineRule="auto"/>
              <w:contextualSpacing/>
              <w:mirrorIndents/>
              <w:jc w:val="both"/>
              <w:rPr>
                <w:rFonts w:ascii="Arial" w:eastAsia="Arial Unicode MS" w:hAnsi="Arial" w:cs="Arial"/>
                <w:sz w:val="18"/>
                <w:szCs w:val="18"/>
                <w:lang w:eastAsia="el-GR"/>
              </w:rPr>
            </w:pPr>
          </w:p>
        </w:tc>
        <w:tc>
          <w:tcPr>
            <w:tcW w:w="581" w:type="dxa"/>
          </w:tcPr>
          <w:p w:rsidR="00747B6D" w:rsidRPr="000245F9" w:rsidRDefault="00747B6D" w:rsidP="00C457AF">
            <w:pPr>
              <w:spacing w:after="0" w:line="240" w:lineRule="auto"/>
              <w:contextualSpacing/>
              <w:mirrorIndents/>
              <w:jc w:val="both"/>
              <w:rPr>
                <w:rFonts w:ascii="Arial" w:eastAsia="Arial Unicode MS" w:hAnsi="Arial" w:cs="Arial"/>
                <w:lang w:eastAsia="el-GR"/>
              </w:rPr>
            </w:pPr>
          </w:p>
        </w:tc>
        <w:tc>
          <w:tcPr>
            <w:tcW w:w="6592" w:type="dxa"/>
          </w:tcPr>
          <w:p w:rsidR="00747B6D" w:rsidRPr="000245F9" w:rsidRDefault="00747B6D" w:rsidP="00C457AF">
            <w:pPr>
              <w:spacing w:after="0" w:line="240" w:lineRule="auto"/>
              <w:contextualSpacing/>
              <w:mirrorIndents/>
              <w:jc w:val="both"/>
              <w:rPr>
                <w:rFonts w:ascii="Arial" w:eastAsia="Arial Unicode MS" w:hAnsi="Arial" w:cs="Arial"/>
                <w:lang w:eastAsia="el-GR"/>
              </w:rPr>
            </w:pPr>
          </w:p>
        </w:tc>
      </w:tr>
      <w:tr w:rsidR="00747B6D" w:rsidRPr="00724FF6" w:rsidTr="00C457AF">
        <w:trPr>
          <w:trHeight w:val="473"/>
        </w:trPr>
        <w:tc>
          <w:tcPr>
            <w:tcW w:w="2189" w:type="dxa"/>
          </w:tcPr>
          <w:p w:rsidR="00747B6D" w:rsidRPr="00724FF6" w:rsidRDefault="00747B6D" w:rsidP="00C457AF">
            <w:pPr>
              <w:spacing w:after="0" w:line="240" w:lineRule="auto"/>
              <w:contextualSpacing/>
              <w:mirrorIndents/>
              <w:jc w:val="both"/>
              <w:rPr>
                <w:rFonts w:ascii="Arial" w:eastAsia="Arial Unicode MS" w:hAnsi="Arial" w:cs="Arial"/>
                <w:sz w:val="18"/>
                <w:szCs w:val="18"/>
                <w:lang w:eastAsia="el-GR"/>
              </w:rPr>
            </w:pPr>
          </w:p>
        </w:tc>
        <w:tc>
          <w:tcPr>
            <w:tcW w:w="581" w:type="dxa"/>
          </w:tcPr>
          <w:p w:rsidR="00747B6D" w:rsidRPr="000245F9" w:rsidRDefault="00747B6D" w:rsidP="00C457AF">
            <w:pPr>
              <w:spacing w:after="0" w:line="240" w:lineRule="auto"/>
              <w:contextualSpacing/>
              <w:mirrorIndents/>
              <w:jc w:val="both"/>
              <w:rPr>
                <w:rFonts w:ascii="Arial" w:eastAsia="Arial Unicode MS" w:hAnsi="Arial" w:cs="Arial"/>
                <w:lang w:eastAsia="el-GR"/>
              </w:rPr>
            </w:pPr>
          </w:p>
        </w:tc>
        <w:tc>
          <w:tcPr>
            <w:tcW w:w="6592" w:type="dxa"/>
          </w:tcPr>
          <w:p w:rsidR="00747B6D" w:rsidRPr="000245F9" w:rsidRDefault="00745A44" w:rsidP="00C457AF">
            <w:pPr>
              <w:spacing w:after="0" w:line="240" w:lineRule="auto"/>
              <w:contextualSpacing/>
              <w:mirrorIndents/>
              <w:jc w:val="both"/>
              <w:rPr>
                <w:rFonts w:ascii="Arial" w:eastAsia="Arial Unicode MS" w:hAnsi="Arial" w:cs="Arial"/>
                <w:lang w:eastAsia="el-GR"/>
              </w:rPr>
            </w:pPr>
            <w:r w:rsidRPr="000245F9">
              <w:rPr>
                <w:rFonts w:ascii="Arial" w:eastAsia="Arial Unicode MS" w:hAnsi="Arial" w:cs="Arial"/>
                <w:lang w:eastAsia="el-GR"/>
              </w:rPr>
              <w:t xml:space="preserve">(α) Με την αντικατάσταση </w:t>
            </w:r>
            <w:r w:rsidR="00D66AA2" w:rsidRPr="000245F9">
              <w:rPr>
                <w:rFonts w:ascii="Arial" w:eastAsia="Arial Unicode MS" w:hAnsi="Arial" w:cs="Arial"/>
                <w:lang w:eastAsia="el-GR"/>
              </w:rPr>
              <w:t xml:space="preserve">της παραγράφου (δ) του εδαφίου </w:t>
            </w:r>
            <w:r w:rsidR="004F70AA" w:rsidRPr="000245F9">
              <w:rPr>
                <w:rFonts w:ascii="Arial" w:eastAsia="Arial Unicode MS" w:hAnsi="Arial" w:cs="Arial"/>
                <w:lang w:eastAsia="el-GR"/>
              </w:rPr>
              <w:t>(2) με την ακόλουθη νέα παράγραφο:</w:t>
            </w:r>
          </w:p>
        </w:tc>
      </w:tr>
      <w:tr w:rsidR="008028D1" w:rsidRPr="00724FF6" w:rsidTr="00C457AF">
        <w:trPr>
          <w:trHeight w:val="231"/>
        </w:trPr>
        <w:tc>
          <w:tcPr>
            <w:tcW w:w="2189" w:type="dxa"/>
          </w:tcPr>
          <w:p w:rsidR="008028D1" w:rsidRPr="00724FF6" w:rsidRDefault="008028D1" w:rsidP="00C457AF">
            <w:pPr>
              <w:spacing w:after="0" w:line="240" w:lineRule="auto"/>
              <w:contextualSpacing/>
              <w:mirrorIndents/>
              <w:jc w:val="both"/>
              <w:rPr>
                <w:rFonts w:ascii="Arial" w:eastAsia="Arial Unicode MS" w:hAnsi="Arial" w:cs="Arial"/>
                <w:sz w:val="18"/>
                <w:szCs w:val="18"/>
                <w:lang w:eastAsia="el-GR"/>
              </w:rPr>
            </w:pPr>
          </w:p>
        </w:tc>
        <w:tc>
          <w:tcPr>
            <w:tcW w:w="581" w:type="dxa"/>
          </w:tcPr>
          <w:p w:rsidR="008028D1" w:rsidRPr="000245F9" w:rsidRDefault="008028D1" w:rsidP="00C457AF">
            <w:pPr>
              <w:spacing w:after="0" w:line="240" w:lineRule="auto"/>
              <w:contextualSpacing/>
              <w:mirrorIndents/>
              <w:jc w:val="both"/>
              <w:rPr>
                <w:rFonts w:ascii="Arial" w:eastAsia="Arial Unicode MS" w:hAnsi="Arial" w:cs="Arial"/>
                <w:lang w:eastAsia="el-GR"/>
              </w:rPr>
            </w:pPr>
          </w:p>
        </w:tc>
        <w:tc>
          <w:tcPr>
            <w:tcW w:w="6592" w:type="dxa"/>
          </w:tcPr>
          <w:p w:rsidR="008028D1" w:rsidRPr="000245F9" w:rsidRDefault="008028D1" w:rsidP="00C457AF">
            <w:pPr>
              <w:spacing w:after="0" w:line="240" w:lineRule="auto"/>
              <w:contextualSpacing/>
              <w:mirrorIndents/>
              <w:jc w:val="both"/>
              <w:rPr>
                <w:rFonts w:ascii="Arial" w:eastAsia="Arial Unicode MS" w:hAnsi="Arial" w:cs="Arial"/>
                <w:lang w:eastAsia="el-GR"/>
              </w:rPr>
            </w:pPr>
          </w:p>
        </w:tc>
      </w:tr>
      <w:tr w:rsidR="007045D7" w:rsidRPr="00724FF6" w:rsidTr="00C457AF">
        <w:trPr>
          <w:trHeight w:val="4710"/>
        </w:trPr>
        <w:tc>
          <w:tcPr>
            <w:tcW w:w="2189" w:type="dxa"/>
            <w:shd w:val="clear" w:color="auto" w:fill="auto"/>
          </w:tcPr>
          <w:p w:rsidR="00320837" w:rsidRPr="00724FF6" w:rsidRDefault="00320837" w:rsidP="00C457AF">
            <w:pPr>
              <w:spacing w:after="0" w:line="240" w:lineRule="auto"/>
              <w:contextualSpacing/>
              <w:mirrorIndents/>
              <w:jc w:val="both"/>
              <w:rPr>
                <w:rFonts w:ascii="Arial" w:eastAsia="Arial Unicode MS" w:hAnsi="Arial" w:cs="Arial"/>
                <w:sz w:val="18"/>
                <w:szCs w:val="18"/>
                <w:lang w:eastAsia="el-GR"/>
              </w:rPr>
            </w:pPr>
          </w:p>
          <w:p w:rsidR="007045D7" w:rsidRDefault="007045D7" w:rsidP="00C457AF">
            <w:pPr>
              <w:spacing w:after="0" w:line="240" w:lineRule="auto"/>
              <w:contextualSpacing/>
              <w:mirrorIndents/>
              <w:jc w:val="both"/>
              <w:rPr>
                <w:rFonts w:ascii="Arial" w:eastAsia="Arial Unicode MS" w:hAnsi="Arial" w:cs="Arial"/>
                <w:sz w:val="18"/>
                <w:szCs w:val="18"/>
                <w:lang w:eastAsia="el-GR"/>
              </w:rPr>
            </w:pPr>
          </w:p>
          <w:p w:rsidR="00055AA7" w:rsidRDefault="00055AA7" w:rsidP="00C457AF">
            <w:pPr>
              <w:spacing w:after="0" w:line="240" w:lineRule="auto"/>
              <w:contextualSpacing/>
              <w:mirrorIndents/>
              <w:jc w:val="both"/>
              <w:rPr>
                <w:rFonts w:ascii="Arial" w:eastAsia="Arial Unicode MS" w:hAnsi="Arial" w:cs="Arial"/>
                <w:sz w:val="18"/>
                <w:szCs w:val="18"/>
                <w:lang w:eastAsia="el-GR"/>
              </w:rPr>
            </w:pPr>
          </w:p>
          <w:p w:rsidR="00055AA7" w:rsidRDefault="00055AA7" w:rsidP="00C457AF">
            <w:pPr>
              <w:spacing w:after="0" w:line="240" w:lineRule="auto"/>
              <w:contextualSpacing/>
              <w:mirrorIndents/>
              <w:jc w:val="both"/>
              <w:rPr>
                <w:rFonts w:ascii="Arial" w:eastAsia="Arial Unicode MS" w:hAnsi="Arial" w:cs="Arial"/>
                <w:sz w:val="18"/>
                <w:szCs w:val="18"/>
                <w:lang w:eastAsia="el-GR"/>
              </w:rPr>
            </w:pPr>
          </w:p>
          <w:p w:rsidR="00055AA7" w:rsidRDefault="00055AA7" w:rsidP="00C457AF">
            <w:pPr>
              <w:spacing w:after="0" w:line="240" w:lineRule="auto"/>
              <w:contextualSpacing/>
              <w:mirrorIndents/>
              <w:jc w:val="both"/>
              <w:rPr>
                <w:rFonts w:ascii="Arial" w:eastAsia="Arial Unicode MS" w:hAnsi="Arial" w:cs="Arial"/>
                <w:sz w:val="18"/>
                <w:szCs w:val="18"/>
                <w:lang w:eastAsia="el-GR"/>
              </w:rPr>
            </w:pPr>
          </w:p>
          <w:p w:rsidR="00055AA7" w:rsidRDefault="00055AA7" w:rsidP="00C457AF">
            <w:pPr>
              <w:spacing w:after="0" w:line="240" w:lineRule="auto"/>
              <w:contextualSpacing/>
              <w:mirrorIndents/>
              <w:jc w:val="both"/>
              <w:rPr>
                <w:rFonts w:ascii="Arial" w:eastAsia="Arial Unicode MS" w:hAnsi="Arial" w:cs="Arial"/>
                <w:sz w:val="18"/>
                <w:szCs w:val="18"/>
                <w:lang w:eastAsia="el-GR"/>
              </w:rPr>
            </w:pPr>
          </w:p>
          <w:p w:rsidR="00055AA7" w:rsidRDefault="00055AA7" w:rsidP="00C457AF">
            <w:pPr>
              <w:spacing w:after="0" w:line="240" w:lineRule="auto"/>
              <w:contextualSpacing/>
              <w:mirrorIndents/>
              <w:jc w:val="both"/>
              <w:rPr>
                <w:rFonts w:ascii="Arial" w:eastAsia="Arial Unicode MS" w:hAnsi="Arial" w:cs="Arial"/>
                <w:sz w:val="18"/>
                <w:szCs w:val="18"/>
                <w:lang w:eastAsia="el-GR"/>
              </w:rPr>
            </w:pPr>
          </w:p>
          <w:p w:rsidR="00055AA7" w:rsidRDefault="00055AA7" w:rsidP="00C457AF">
            <w:pPr>
              <w:spacing w:after="0" w:line="240" w:lineRule="auto"/>
              <w:contextualSpacing/>
              <w:mirrorIndents/>
              <w:jc w:val="both"/>
              <w:rPr>
                <w:rFonts w:ascii="Arial" w:eastAsia="Arial Unicode MS" w:hAnsi="Arial" w:cs="Arial"/>
                <w:sz w:val="18"/>
                <w:szCs w:val="18"/>
                <w:lang w:eastAsia="el-GR"/>
              </w:rPr>
            </w:pPr>
          </w:p>
          <w:p w:rsidR="00055AA7" w:rsidRDefault="00055AA7" w:rsidP="00C457AF">
            <w:pPr>
              <w:spacing w:after="0" w:line="240" w:lineRule="auto"/>
              <w:contextualSpacing/>
              <w:mirrorIndents/>
              <w:jc w:val="both"/>
              <w:rPr>
                <w:rFonts w:ascii="Arial" w:eastAsia="Arial Unicode MS" w:hAnsi="Arial" w:cs="Arial"/>
                <w:sz w:val="18"/>
                <w:szCs w:val="18"/>
                <w:lang w:eastAsia="el-GR"/>
              </w:rPr>
            </w:pPr>
          </w:p>
          <w:p w:rsidR="00055AA7" w:rsidRDefault="00055AA7" w:rsidP="00C457AF">
            <w:pPr>
              <w:spacing w:after="0" w:line="240" w:lineRule="auto"/>
              <w:contextualSpacing/>
              <w:mirrorIndents/>
              <w:jc w:val="both"/>
              <w:rPr>
                <w:rFonts w:ascii="Arial" w:eastAsia="Arial Unicode MS" w:hAnsi="Arial" w:cs="Arial"/>
                <w:sz w:val="18"/>
                <w:szCs w:val="18"/>
                <w:lang w:eastAsia="el-GR"/>
              </w:rPr>
            </w:pPr>
          </w:p>
          <w:p w:rsidR="00055AA7" w:rsidRDefault="00055AA7" w:rsidP="00C457AF">
            <w:pPr>
              <w:spacing w:after="0" w:line="240" w:lineRule="auto"/>
              <w:contextualSpacing/>
              <w:mirrorIndents/>
              <w:jc w:val="both"/>
              <w:rPr>
                <w:rFonts w:ascii="Arial" w:eastAsia="Arial Unicode MS" w:hAnsi="Arial" w:cs="Arial"/>
                <w:sz w:val="18"/>
                <w:szCs w:val="18"/>
                <w:lang w:eastAsia="el-GR"/>
              </w:rPr>
            </w:pPr>
          </w:p>
          <w:p w:rsidR="00055AA7" w:rsidRDefault="00055AA7" w:rsidP="00C457AF">
            <w:pPr>
              <w:spacing w:after="0" w:line="240" w:lineRule="auto"/>
              <w:contextualSpacing/>
              <w:mirrorIndents/>
              <w:jc w:val="both"/>
              <w:rPr>
                <w:rFonts w:ascii="Arial" w:eastAsia="Arial Unicode MS" w:hAnsi="Arial" w:cs="Arial"/>
                <w:sz w:val="18"/>
                <w:szCs w:val="18"/>
                <w:lang w:eastAsia="el-GR"/>
              </w:rPr>
            </w:pPr>
          </w:p>
          <w:p w:rsidR="00055AA7" w:rsidRDefault="00055AA7" w:rsidP="00C457AF">
            <w:pPr>
              <w:spacing w:after="0" w:line="240" w:lineRule="auto"/>
              <w:contextualSpacing/>
              <w:mirrorIndents/>
              <w:jc w:val="both"/>
              <w:rPr>
                <w:rFonts w:ascii="Arial" w:eastAsia="Arial Unicode MS" w:hAnsi="Arial" w:cs="Arial"/>
                <w:sz w:val="18"/>
                <w:szCs w:val="18"/>
                <w:lang w:eastAsia="el-GR"/>
              </w:rPr>
            </w:pPr>
          </w:p>
          <w:p w:rsidR="00055AA7" w:rsidRDefault="00055AA7" w:rsidP="00C457AF">
            <w:pPr>
              <w:spacing w:after="0" w:line="240" w:lineRule="auto"/>
              <w:ind w:left="24" w:firstLine="425"/>
              <w:contextualSpacing/>
              <w:mirrorIndents/>
              <w:jc w:val="both"/>
              <w:rPr>
                <w:rFonts w:ascii="Arial" w:eastAsia="Arial Unicode MS" w:hAnsi="Arial" w:cs="Arial"/>
                <w:sz w:val="18"/>
                <w:szCs w:val="18"/>
                <w:lang w:eastAsia="el-GR"/>
              </w:rPr>
            </w:pPr>
          </w:p>
          <w:p w:rsidR="00C457AF" w:rsidRDefault="00C457AF" w:rsidP="00C457AF">
            <w:pPr>
              <w:spacing w:after="0" w:line="240" w:lineRule="auto"/>
              <w:ind w:left="24" w:firstLine="425"/>
              <w:contextualSpacing/>
              <w:mirrorIndents/>
              <w:jc w:val="both"/>
              <w:rPr>
                <w:rFonts w:ascii="Arial" w:eastAsia="Arial Unicode MS" w:hAnsi="Arial" w:cs="Arial"/>
                <w:sz w:val="18"/>
                <w:szCs w:val="18"/>
                <w:lang w:eastAsia="el-GR"/>
              </w:rPr>
            </w:pPr>
          </w:p>
          <w:p w:rsidR="00C457AF" w:rsidRDefault="00C457AF" w:rsidP="00C457AF">
            <w:pPr>
              <w:spacing w:after="0" w:line="240" w:lineRule="auto"/>
              <w:ind w:left="24" w:firstLine="425"/>
              <w:contextualSpacing/>
              <w:mirrorIndents/>
              <w:jc w:val="both"/>
              <w:rPr>
                <w:rFonts w:ascii="Arial" w:eastAsia="Arial Unicode MS" w:hAnsi="Arial" w:cs="Arial"/>
                <w:sz w:val="18"/>
                <w:szCs w:val="18"/>
                <w:lang w:eastAsia="el-GR"/>
              </w:rPr>
            </w:pPr>
          </w:p>
          <w:p w:rsidR="00C457AF" w:rsidRDefault="00C457AF" w:rsidP="00C457AF">
            <w:pPr>
              <w:spacing w:after="0" w:line="240" w:lineRule="auto"/>
              <w:ind w:left="24" w:firstLine="425"/>
              <w:contextualSpacing/>
              <w:mirrorIndents/>
              <w:jc w:val="both"/>
              <w:rPr>
                <w:rFonts w:ascii="Arial" w:eastAsia="Arial Unicode MS" w:hAnsi="Arial" w:cs="Arial"/>
                <w:sz w:val="18"/>
                <w:szCs w:val="18"/>
                <w:lang w:eastAsia="el-GR"/>
              </w:rPr>
            </w:pPr>
          </w:p>
          <w:p w:rsidR="00C457AF" w:rsidRDefault="00C457AF" w:rsidP="00C457AF">
            <w:pPr>
              <w:spacing w:after="0" w:line="240" w:lineRule="auto"/>
              <w:ind w:left="24" w:firstLine="425"/>
              <w:contextualSpacing/>
              <w:mirrorIndents/>
              <w:jc w:val="both"/>
              <w:rPr>
                <w:rFonts w:ascii="Arial" w:eastAsia="Arial Unicode MS" w:hAnsi="Arial" w:cs="Arial"/>
                <w:sz w:val="18"/>
                <w:szCs w:val="18"/>
                <w:lang w:eastAsia="el-GR"/>
              </w:rPr>
            </w:pPr>
          </w:p>
          <w:p w:rsidR="00B93508" w:rsidRDefault="00B93508" w:rsidP="00C457AF">
            <w:pPr>
              <w:spacing w:after="0" w:line="240" w:lineRule="auto"/>
              <w:ind w:left="24" w:firstLine="425"/>
              <w:contextualSpacing/>
              <w:mirrorIndents/>
              <w:jc w:val="right"/>
              <w:rPr>
                <w:rFonts w:ascii="Arial" w:eastAsia="Arial Unicode MS" w:hAnsi="Arial" w:cs="Arial"/>
                <w:sz w:val="18"/>
                <w:szCs w:val="18"/>
                <w:lang w:eastAsia="el-GR"/>
              </w:rPr>
            </w:pPr>
            <w:r>
              <w:rPr>
                <w:rFonts w:ascii="Arial" w:eastAsia="Arial Unicode MS" w:hAnsi="Arial" w:cs="Arial"/>
                <w:sz w:val="18"/>
                <w:szCs w:val="18"/>
                <w:lang w:eastAsia="el-GR"/>
              </w:rPr>
              <w:t>22(Ι) του 2016</w:t>
            </w:r>
          </w:p>
          <w:p w:rsidR="00DA3397" w:rsidRDefault="00B93508" w:rsidP="00C457AF">
            <w:pPr>
              <w:spacing w:after="0" w:line="240" w:lineRule="auto"/>
              <w:ind w:left="24" w:firstLine="425"/>
              <w:contextualSpacing/>
              <w:mirrorIndents/>
              <w:jc w:val="right"/>
              <w:rPr>
                <w:rFonts w:ascii="Arial" w:eastAsia="Arial Unicode MS" w:hAnsi="Arial" w:cs="Arial"/>
                <w:sz w:val="18"/>
                <w:szCs w:val="18"/>
                <w:lang w:eastAsia="el-GR"/>
              </w:rPr>
            </w:pPr>
            <w:r>
              <w:rPr>
                <w:rFonts w:ascii="Arial" w:eastAsia="Arial Unicode MS" w:hAnsi="Arial" w:cs="Arial"/>
                <w:sz w:val="18"/>
                <w:szCs w:val="18"/>
                <w:lang w:eastAsia="el-GR"/>
              </w:rPr>
              <w:t>96(Ι) του 2021</w:t>
            </w:r>
          </w:p>
          <w:p w:rsidR="00DA3397" w:rsidRPr="00DA3397" w:rsidRDefault="00DA3397" w:rsidP="00C457AF">
            <w:pPr>
              <w:spacing w:after="0" w:line="240" w:lineRule="auto"/>
              <w:ind w:left="24" w:firstLine="425"/>
              <w:contextualSpacing/>
              <w:mirrorIndents/>
              <w:jc w:val="right"/>
              <w:rPr>
                <w:rFonts w:ascii="Arial" w:eastAsia="Arial Unicode MS" w:hAnsi="Arial" w:cs="Arial"/>
                <w:sz w:val="18"/>
                <w:szCs w:val="18"/>
                <w:lang w:eastAsia="el-GR"/>
              </w:rPr>
            </w:pPr>
            <w:r w:rsidRPr="00DA3397">
              <w:rPr>
                <w:rFonts w:ascii="Arial" w:eastAsia="Arial Unicode MS" w:hAnsi="Arial" w:cs="Arial"/>
                <w:sz w:val="18"/>
                <w:szCs w:val="18"/>
                <w:lang w:eastAsia="el-GR"/>
              </w:rPr>
              <w:t>158(I)</w:t>
            </w:r>
            <w:r>
              <w:rPr>
                <w:rFonts w:ascii="Arial" w:eastAsia="Arial Unicode MS" w:hAnsi="Arial" w:cs="Arial"/>
                <w:sz w:val="18"/>
                <w:szCs w:val="18"/>
                <w:lang w:eastAsia="el-GR"/>
              </w:rPr>
              <w:t xml:space="preserve"> του </w:t>
            </w:r>
            <w:r w:rsidRPr="00DA3397">
              <w:rPr>
                <w:rFonts w:ascii="Arial" w:eastAsia="Arial Unicode MS" w:hAnsi="Arial" w:cs="Arial"/>
                <w:sz w:val="18"/>
                <w:szCs w:val="18"/>
                <w:lang w:eastAsia="el-GR"/>
              </w:rPr>
              <w:t>2021</w:t>
            </w:r>
          </w:p>
          <w:p w:rsidR="00DA3397" w:rsidRPr="00DA3397" w:rsidRDefault="00DA3397" w:rsidP="00C457AF">
            <w:pPr>
              <w:spacing w:after="0" w:line="240" w:lineRule="auto"/>
              <w:ind w:left="24" w:firstLine="425"/>
              <w:contextualSpacing/>
              <w:mirrorIndents/>
              <w:jc w:val="right"/>
              <w:rPr>
                <w:rFonts w:ascii="Arial" w:eastAsia="Arial Unicode MS" w:hAnsi="Arial" w:cs="Arial"/>
                <w:sz w:val="18"/>
                <w:szCs w:val="18"/>
                <w:lang w:eastAsia="el-GR"/>
              </w:rPr>
            </w:pPr>
            <w:r w:rsidRPr="00DA3397">
              <w:rPr>
                <w:rFonts w:ascii="Arial" w:eastAsia="Arial Unicode MS" w:hAnsi="Arial" w:cs="Arial"/>
                <w:sz w:val="18"/>
                <w:szCs w:val="18"/>
                <w:lang w:eastAsia="el-GR"/>
              </w:rPr>
              <w:t>102(I)</w:t>
            </w:r>
            <w:r>
              <w:rPr>
                <w:rFonts w:ascii="Arial" w:eastAsia="Arial Unicode MS" w:hAnsi="Arial" w:cs="Arial"/>
                <w:sz w:val="18"/>
                <w:szCs w:val="18"/>
                <w:lang w:eastAsia="el-GR"/>
              </w:rPr>
              <w:t xml:space="preserve"> του </w:t>
            </w:r>
            <w:r w:rsidRPr="00DA3397">
              <w:rPr>
                <w:rFonts w:ascii="Arial" w:eastAsia="Arial Unicode MS" w:hAnsi="Arial" w:cs="Arial"/>
                <w:sz w:val="18"/>
                <w:szCs w:val="18"/>
                <w:lang w:eastAsia="el-GR"/>
              </w:rPr>
              <w:t>2022</w:t>
            </w:r>
          </w:p>
          <w:p w:rsidR="00B93508" w:rsidRPr="00724FF6" w:rsidRDefault="00DA3397" w:rsidP="00C457AF">
            <w:pPr>
              <w:spacing w:after="0" w:line="240" w:lineRule="auto"/>
              <w:ind w:left="24" w:firstLine="425"/>
              <w:contextualSpacing/>
              <w:mirrorIndents/>
              <w:jc w:val="right"/>
              <w:rPr>
                <w:rFonts w:ascii="Arial" w:eastAsia="Arial Unicode MS" w:hAnsi="Arial" w:cs="Arial"/>
                <w:sz w:val="18"/>
                <w:szCs w:val="18"/>
              </w:rPr>
            </w:pPr>
            <w:r w:rsidRPr="00DA3397">
              <w:rPr>
                <w:rFonts w:ascii="Arial" w:eastAsia="Arial Unicode MS" w:hAnsi="Arial" w:cs="Arial"/>
                <w:sz w:val="18"/>
                <w:szCs w:val="18"/>
                <w:lang w:eastAsia="el-GR"/>
              </w:rPr>
              <w:t>109(I)</w:t>
            </w:r>
            <w:r>
              <w:rPr>
                <w:rFonts w:ascii="Arial" w:eastAsia="Arial Unicode MS" w:hAnsi="Arial" w:cs="Arial"/>
                <w:sz w:val="18"/>
                <w:szCs w:val="18"/>
                <w:lang w:eastAsia="el-GR"/>
              </w:rPr>
              <w:t xml:space="preserve"> του </w:t>
            </w:r>
            <w:r w:rsidRPr="00DA3397">
              <w:rPr>
                <w:rFonts w:ascii="Arial" w:eastAsia="Arial Unicode MS" w:hAnsi="Arial" w:cs="Arial"/>
                <w:sz w:val="18"/>
                <w:szCs w:val="18"/>
                <w:lang w:eastAsia="el-GR"/>
              </w:rPr>
              <w:t>2022</w:t>
            </w:r>
            <w:r>
              <w:rPr>
                <w:rFonts w:ascii="Arial" w:eastAsia="Arial Unicode MS" w:hAnsi="Arial" w:cs="Arial"/>
                <w:sz w:val="18"/>
                <w:szCs w:val="18"/>
              </w:rPr>
              <w:t>.</w:t>
            </w:r>
            <w:r w:rsidR="00B93508">
              <w:rPr>
                <w:rFonts w:ascii="Arial" w:eastAsia="Arial Unicode MS" w:hAnsi="Arial" w:cs="Arial"/>
                <w:sz w:val="18"/>
                <w:szCs w:val="18"/>
              </w:rPr>
              <w:t xml:space="preserve"> </w:t>
            </w:r>
          </w:p>
        </w:tc>
        <w:tc>
          <w:tcPr>
            <w:tcW w:w="581" w:type="dxa"/>
            <w:shd w:val="clear" w:color="auto" w:fill="auto"/>
          </w:tcPr>
          <w:p w:rsidR="007045D7" w:rsidRPr="000245F9" w:rsidRDefault="007045D7" w:rsidP="00C457AF">
            <w:pPr>
              <w:spacing w:after="0" w:line="240" w:lineRule="auto"/>
              <w:contextualSpacing/>
              <w:mirrorIndents/>
              <w:jc w:val="both"/>
              <w:rPr>
                <w:rFonts w:ascii="Arial" w:eastAsia="Arial Unicode MS" w:hAnsi="Arial" w:cs="Arial"/>
                <w:lang w:eastAsia="el-GR"/>
              </w:rPr>
            </w:pPr>
          </w:p>
        </w:tc>
        <w:tc>
          <w:tcPr>
            <w:tcW w:w="6592" w:type="dxa"/>
          </w:tcPr>
          <w:p w:rsidR="004F70AA" w:rsidRPr="00E20589" w:rsidRDefault="004F70AA" w:rsidP="00C457AF">
            <w:pPr>
              <w:pStyle w:val="indent1"/>
              <w:jc w:val="both"/>
              <w:rPr>
                <w:rFonts w:ascii="Arial" w:hAnsi="Arial" w:cs="Arial"/>
                <w:color w:val="000000"/>
                <w:sz w:val="22"/>
                <w:szCs w:val="22"/>
              </w:rPr>
            </w:pPr>
            <w:r w:rsidRPr="00E20589">
              <w:rPr>
                <w:rFonts w:ascii="Arial" w:hAnsi="Arial" w:cs="Arial"/>
                <w:color w:val="000000"/>
                <w:sz w:val="22"/>
                <w:szCs w:val="22"/>
              </w:rPr>
              <w:t xml:space="preserve">«(δ) όταν απαιτείται έκτακτη δημόσια </w:t>
            </w:r>
            <w:r w:rsidR="007D777C" w:rsidRPr="00E20589">
              <w:rPr>
                <w:rFonts w:ascii="Arial" w:hAnsi="Arial" w:cs="Arial"/>
                <w:color w:val="000000"/>
                <w:sz w:val="22"/>
                <w:szCs w:val="22"/>
              </w:rPr>
              <w:t xml:space="preserve">χρηματοπιστωτική </w:t>
            </w:r>
            <w:r w:rsidRPr="00E20589">
              <w:rPr>
                <w:rFonts w:ascii="Arial" w:hAnsi="Arial" w:cs="Arial"/>
                <w:color w:val="000000"/>
                <w:sz w:val="22"/>
                <w:szCs w:val="22"/>
              </w:rPr>
              <w:t xml:space="preserve">στήριξη εκτός εάν, προκειμένου να </w:t>
            </w:r>
            <w:r w:rsidR="007D777C" w:rsidRPr="00E20589">
              <w:rPr>
                <w:rFonts w:ascii="Arial" w:hAnsi="Arial" w:cs="Arial"/>
                <w:color w:val="000000"/>
                <w:sz w:val="22"/>
                <w:szCs w:val="22"/>
              </w:rPr>
              <w:t xml:space="preserve">αποτραπεί ή να αντιμετωπιστεί </w:t>
            </w:r>
            <w:r w:rsidRPr="00E20589">
              <w:rPr>
                <w:rFonts w:ascii="Arial" w:hAnsi="Arial" w:cs="Arial"/>
                <w:color w:val="000000"/>
                <w:sz w:val="22"/>
                <w:szCs w:val="22"/>
              </w:rPr>
              <w:t xml:space="preserve"> σοβαρή διαταραχή στην οικονομία και να διατηρηθεί η χρηματοπιστωτική σταθερότητα στη Δημοκρατία</w:t>
            </w:r>
            <w:r w:rsidR="007D777C" w:rsidRPr="00E20589">
              <w:rPr>
                <w:rFonts w:ascii="Arial" w:hAnsi="Arial" w:cs="Arial"/>
                <w:color w:val="000000"/>
                <w:sz w:val="22"/>
                <w:szCs w:val="22"/>
              </w:rPr>
              <w:t xml:space="preserve"> ή σε άλλο κράτος μέλος</w:t>
            </w:r>
            <w:r w:rsidRPr="00E20589">
              <w:rPr>
                <w:rFonts w:ascii="Arial" w:hAnsi="Arial" w:cs="Arial"/>
                <w:color w:val="000000"/>
                <w:sz w:val="22"/>
                <w:szCs w:val="22"/>
              </w:rPr>
              <w:t xml:space="preserve">, η έκτακτη δημόσια </w:t>
            </w:r>
            <w:r w:rsidR="006B3893" w:rsidRPr="00E20589">
              <w:rPr>
                <w:rFonts w:ascii="Arial" w:hAnsi="Arial" w:cs="Arial"/>
                <w:color w:val="000000"/>
                <w:sz w:val="22"/>
                <w:szCs w:val="22"/>
              </w:rPr>
              <w:t xml:space="preserve">χρηματοπιστωτική </w:t>
            </w:r>
            <w:r w:rsidRPr="00E20589">
              <w:rPr>
                <w:rFonts w:ascii="Arial" w:hAnsi="Arial" w:cs="Arial"/>
                <w:color w:val="000000"/>
                <w:sz w:val="22"/>
                <w:szCs w:val="22"/>
              </w:rPr>
              <w:t>στήριξη πάρει οποιαδήποτε από τις ακόλουθες μορφές:</w:t>
            </w:r>
          </w:p>
          <w:p w:rsidR="004F70AA" w:rsidRPr="00E20589" w:rsidRDefault="004F70AA" w:rsidP="00C457AF">
            <w:pPr>
              <w:pStyle w:val="indent1"/>
              <w:jc w:val="both"/>
              <w:rPr>
                <w:rFonts w:ascii="Arial" w:hAnsi="Arial" w:cs="Arial"/>
                <w:color w:val="000000"/>
                <w:sz w:val="22"/>
                <w:szCs w:val="22"/>
              </w:rPr>
            </w:pPr>
            <w:r w:rsidRPr="00E20589">
              <w:rPr>
                <w:rFonts w:ascii="Arial" w:hAnsi="Arial" w:cs="Arial"/>
                <w:color w:val="000000"/>
                <w:sz w:val="22"/>
                <w:szCs w:val="22"/>
              </w:rPr>
              <w:t>(i) κρατική εγγύηση για την κάλυψη διευκολύνσεων ρευστότητας που παρέχονται από την Κεντρική Τράπεζα σύμφωνα με τους όρους της Κεντρικής Τράπεζας,</w:t>
            </w:r>
          </w:p>
          <w:p w:rsidR="004F70AA" w:rsidRPr="00E20589" w:rsidRDefault="004F70AA" w:rsidP="00C457AF">
            <w:pPr>
              <w:pStyle w:val="indent1"/>
              <w:jc w:val="both"/>
              <w:rPr>
                <w:rFonts w:ascii="Arial" w:hAnsi="Arial" w:cs="Arial"/>
                <w:color w:val="000000"/>
                <w:sz w:val="22"/>
                <w:szCs w:val="22"/>
              </w:rPr>
            </w:pPr>
            <w:r w:rsidRPr="00E20589">
              <w:rPr>
                <w:rFonts w:ascii="Arial" w:hAnsi="Arial" w:cs="Arial"/>
                <w:color w:val="000000"/>
                <w:sz w:val="22"/>
                <w:szCs w:val="22"/>
              </w:rPr>
              <w:t>(</w:t>
            </w:r>
            <w:proofErr w:type="spellStart"/>
            <w:r w:rsidRPr="00E20589">
              <w:rPr>
                <w:rFonts w:ascii="Arial" w:hAnsi="Arial" w:cs="Arial"/>
                <w:color w:val="000000"/>
                <w:sz w:val="22"/>
                <w:szCs w:val="22"/>
              </w:rPr>
              <w:t>ii</w:t>
            </w:r>
            <w:proofErr w:type="spellEnd"/>
            <w:r w:rsidRPr="00E20589">
              <w:rPr>
                <w:rFonts w:ascii="Arial" w:hAnsi="Arial" w:cs="Arial"/>
                <w:color w:val="000000"/>
                <w:sz w:val="22"/>
                <w:szCs w:val="22"/>
              </w:rPr>
              <w:t xml:space="preserve">) κρατική εγγύηση για </w:t>
            </w:r>
            <w:proofErr w:type="spellStart"/>
            <w:r w:rsidRPr="00E20589">
              <w:rPr>
                <w:rFonts w:ascii="Arial" w:hAnsi="Arial" w:cs="Arial"/>
                <w:color w:val="000000"/>
                <w:sz w:val="22"/>
                <w:szCs w:val="22"/>
              </w:rPr>
              <w:t>νεοεκδοθείσες</w:t>
            </w:r>
            <w:proofErr w:type="spellEnd"/>
            <w:r w:rsidRPr="00E20589">
              <w:rPr>
                <w:rFonts w:ascii="Arial" w:hAnsi="Arial" w:cs="Arial"/>
                <w:color w:val="000000"/>
                <w:sz w:val="22"/>
                <w:szCs w:val="22"/>
              </w:rPr>
              <w:t xml:space="preserve"> υποχρεώσεις, ή</w:t>
            </w:r>
          </w:p>
          <w:p w:rsidR="00C457AF" w:rsidRPr="00E20589" w:rsidRDefault="004F70AA" w:rsidP="00C457AF">
            <w:pPr>
              <w:pStyle w:val="indent1"/>
              <w:jc w:val="both"/>
              <w:rPr>
                <w:rFonts w:ascii="Arial" w:hAnsi="Arial" w:cs="Arial"/>
                <w:color w:val="000000"/>
                <w:sz w:val="22"/>
                <w:szCs w:val="22"/>
              </w:rPr>
            </w:pPr>
            <w:r w:rsidRPr="00E20589">
              <w:rPr>
                <w:rFonts w:ascii="Arial" w:hAnsi="Arial" w:cs="Arial"/>
                <w:color w:val="000000"/>
                <w:sz w:val="22"/>
                <w:szCs w:val="22"/>
              </w:rPr>
              <w:t>(</w:t>
            </w:r>
            <w:proofErr w:type="spellStart"/>
            <w:r w:rsidRPr="00E20589">
              <w:rPr>
                <w:rFonts w:ascii="Arial" w:hAnsi="Arial" w:cs="Arial"/>
                <w:color w:val="000000"/>
                <w:sz w:val="22"/>
                <w:szCs w:val="22"/>
              </w:rPr>
              <w:t>iii</w:t>
            </w:r>
            <w:proofErr w:type="spellEnd"/>
            <w:r w:rsidRPr="00E20589">
              <w:rPr>
                <w:rFonts w:ascii="Arial" w:hAnsi="Arial" w:cs="Arial"/>
                <w:color w:val="000000"/>
                <w:sz w:val="22"/>
                <w:szCs w:val="22"/>
              </w:rPr>
              <w:t xml:space="preserve">) </w:t>
            </w:r>
            <w:r w:rsidR="006B3893" w:rsidRPr="00E20589">
              <w:rPr>
                <w:rFonts w:ascii="Arial" w:hAnsi="Arial" w:cs="Arial"/>
                <w:color w:val="000000"/>
                <w:sz w:val="22"/>
                <w:szCs w:val="22"/>
              </w:rPr>
              <w:t xml:space="preserve">εισφορά </w:t>
            </w:r>
            <w:r w:rsidRPr="00E20589">
              <w:rPr>
                <w:rFonts w:ascii="Arial" w:hAnsi="Arial" w:cs="Arial"/>
                <w:color w:val="000000"/>
                <w:sz w:val="22"/>
                <w:szCs w:val="22"/>
              </w:rPr>
              <w:t xml:space="preserve">ιδίων κεφαλαίων ή αγορά κεφαλαιακών μέσων σε τιμές και με όρους που δεν παρέχουν πλεονέκτημα υπέρ του ΑΠΙ, εφόσον δεν υφίστανται ούτε οι περιστάσεις που παρατίθενται στις παραγράφους (α), (β) ή (γ) του παρόντος εδαφίου ούτε οι περιστάσεις που προβλέπονται στο άρθρο </w:t>
            </w:r>
            <w:r w:rsidR="003F12F1" w:rsidRPr="00E20589">
              <w:rPr>
                <w:rFonts w:ascii="Arial" w:hAnsi="Arial" w:cs="Arial"/>
                <w:color w:val="000000"/>
                <w:sz w:val="22"/>
                <w:szCs w:val="22"/>
              </w:rPr>
              <w:t>31</w:t>
            </w:r>
            <w:r w:rsidRPr="00E20589">
              <w:rPr>
                <w:rFonts w:ascii="Arial" w:hAnsi="Arial" w:cs="Arial"/>
                <w:color w:val="000000"/>
                <w:sz w:val="22"/>
                <w:szCs w:val="22"/>
              </w:rPr>
              <w:t>(1)</w:t>
            </w:r>
            <w:r w:rsidR="00034635" w:rsidRPr="00E20589">
              <w:rPr>
                <w:rFonts w:ascii="Arial" w:hAnsi="Arial" w:cs="Arial"/>
                <w:color w:val="000000"/>
                <w:sz w:val="22"/>
                <w:szCs w:val="22"/>
              </w:rPr>
              <w:t xml:space="preserve"> </w:t>
            </w:r>
            <w:r w:rsidR="003163EF" w:rsidRPr="00E20589">
              <w:rPr>
                <w:rFonts w:ascii="Arial" w:hAnsi="Arial" w:cs="Arial"/>
                <w:color w:val="000000"/>
                <w:sz w:val="22"/>
                <w:szCs w:val="22"/>
              </w:rPr>
              <w:t xml:space="preserve">του </w:t>
            </w:r>
            <w:r w:rsidR="00533F38" w:rsidRPr="00E20589">
              <w:rPr>
                <w:rFonts w:ascii="Arial" w:hAnsi="Arial" w:cs="Arial"/>
                <w:color w:val="000000"/>
                <w:sz w:val="22"/>
                <w:szCs w:val="22"/>
              </w:rPr>
              <w:t>περί</w:t>
            </w:r>
            <w:r w:rsidR="00034635" w:rsidRPr="00E20589">
              <w:rPr>
                <w:rFonts w:ascii="Arial" w:hAnsi="Arial" w:cs="Arial"/>
                <w:color w:val="000000"/>
                <w:sz w:val="22"/>
                <w:szCs w:val="22"/>
              </w:rPr>
              <w:t xml:space="preserve"> Εξυγίανσης Πιστωτικών και </w:t>
            </w:r>
            <w:r w:rsidR="00244163" w:rsidRPr="00E20589">
              <w:rPr>
                <w:rFonts w:ascii="Arial" w:hAnsi="Arial" w:cs="Arial"/>
                <w:color w:val="000000"/>
                <w:sz w:val="22"/>
                <w:szCs w:val="22"/>
              </w:rPr>
              <w:t>Επενδυτικών Εταιρειών Νόμο</w:t>
            </w:r>
            <w:r w:rsidR="003163EF" w:rsidRPr="00E20589">
              <w:rPr>
                <w:rFonts w:ascii="Arial" w:hAnsi="Arial" w:cs="Arial"/>
                <w:color w:val="000000"/>
                <w:sz w:val="22"/>
                <w:szCs w:val="22"/>
              </w:rPr>
              <w:t>υ</w:t>
            </w:r>
            <w:r w:rsidR="006B3893" w:rsidRPr="00E20589">
              <w:rPr>
                <w:rFonts w:ascii="Arial" w:hAnsi="Arial" w:cs="Arial"/>
                <w:color w:val="000000"/>
                <w:sz w:val="22"/>
                <w:szCs w:val="22"/>
              </w:rPr>
              <w:t xml:space="preserve">, </w:t>
            </w:r>
            <w:r w:rsidRPr="00E20589">
              <w:rPr>
                <w:rFonts w:ascii="Arial" w:hAnsi="Arial" w:cs="Arial"/>
                <w:color w:val="000000"/>
                <w:sz w:val="22"/>
                <w:szCs w:val="22"/>
              </w:rPr>
              <w:t>κατά τη στιγμή της χορήγησης της κρατικής στήριξης.».</w:t>
            </w:r>
          </w:p>
        </w:tc>
      </w:tr>
      <w:tr w:rsidR="00C457AF" w:rsidRPr="00724FF6" w:rsidTr="00C457AF">
        <w:trPr>
          <w:trHeight w:val="231"/>
        </w:trPr>
        <w:tc>
          <w:tcPr>
            <w:tcW w:w="2189" w:type="dxa"/>
          </w:tcPr>
          <w:p w:rsidR="00C457AF" w:rsidRPr="00724FF6" w:rsidRDefault="00C457AF" w:rsidP="00C457AF">
            <w:pPr>
              <w:spacing w:after="0" w:line="240" w:lineRule="auto"/>
              <w:contextualSpacing/>
              <w:mirrorIndents/>
              <w:jc w:val="both"/>
              <w:rPr>
                <w:rFonts w:ascii="Arial" w:eastAsia="Arial Unicode MS" w:hAnsi="Arial" w:cs="Arial"/>
                <w:sz w:val="18"/>
                <w:szCs w:val="18"/>
                <w:lang w:eastAsia="el-GR"/>
              </w:rPr>
            </w:pPr>
          </w:p>
        </w:tc>
        <w:tc>
          <w:tcPr>
            <w:tcW w:w="581" w:type="dxa"/>
          </w:tcPr>
          <w:p w:rsidR="00C457AF" w:rsidRPr="000245F9" w:rsidRDefault="00C457AF" w:rsidP="00C457AF">
            <w:pPr>
              <w:spacing w:after="0" w:line="240" w:lineRule="auto"/>
              <w:contextualSpacing/>
              <w:mirrorIndents/>
              <w:jc w:val="both"/>
              <w:rPr>
                <w:rFonts w:ascii="Arial" w:eastAsia="Arial Unicode MS" w:hAnsi="Arial" w:cs="Arial"/>
                <w:lang w:eastAsia="el-GR"/>
              </w:rPr>
            </w:pPr>
          </w:p>
        </w:tc>
        <w:tc>
          <w:tcPr>
            <w:tcW w:w="6592" w:type="dxa"/>
          </w:tcPr>
          <w:p w:rsidR="00C457AF" w:rsidRPr="000245F9" w:rsidRDefault="00C457AF" w:rsidP="00C457AF">
            <w:pPr>
              <w:spacing w:after="0" w:line="240" w:lineRule="auto"/>
              <w:contextualSpacing/>
              <w:mirrorIndents/>
              <w:jc w:val="both"/>
              <w:rPr>
                <w:rFonts w:ascii="Arial" w:eastAsia="Arial Unicode MS" w:hAnsi="Arial" w:cs="Arial"/>
                <w:lang w:eastAsia="el-GR"/>
              </w:rPr>
            </w:pPr>
          </w:p>
        </w:tc>
      </w:tr>
      <w:tr w:rsidR="00C457AF" w:rsidRPr="00724FF6" w:rsidTr="00C457AF">
        <w:trPr>
          <w:trHeight w:val="231"/>
        </w:trPr>
        <w:tc>
          <w:tcPr>
            <w:tcW w:w="2189" w:type="dxa"/>
          </w:tcPr>
          <w:p w:rsidR="00C457AF" w:rsidRPr="00724FF6" w:rsidRDefault="00C457AF" w:rsidP="00C457AF">
            <w:pPr>
              <w:spacing w:after="0" w:line="240" w:lineRule="auto"/>
              <w:contextualSpacing/>
              <w:mirrorIndents/>
              <w:jc w:val="both"/>
              <w:rPr>
                <w:rFonts w:ascii="Arial" w:eastAsia="Arial Unicode MS" w:hAnsi="Arial" w:cs="Arial"/>
                <w:sz w:val="18"/>
                <w:szCs w:val="18"/>
                <w:lang w:eastAsia="el-GR"/>
              </w:rPr>
            </w:pPr>
          </w:p>
        </w:tc>
        <w:tc>
          <w:tcPr>
            <w:tcW w:w="581" w:type="dxa"/>
          </w:tcPr>
          <w:p w:rsidR="00C457AF" w:rsidRPr="000245F9" w:rsidRDefault="00C457AF" w:rsidP="00C457AF">
            <w:pPr>
              <w:spacing w:after="0" w:line="240" w:lineRule="auto"/>
              <w:contextualSpacing/>
              <w:mirrorIndents/>
              <w:jc w:val="both"/>
              <w:rPr>
                <w:rFonts w:ascii="Arial" w:eastAsia="Arial Unicode MS" w:hAnsi="Arial" w:cs="Arial"/>
                <w:lang w:eastAsia="el-GR"/>
              </w:rPr>
            </w:pPr>
          </w:p>
        </w:tc>
        <w:tc>
          <w:tcPr>
            <w:tcW w:w="6592" w:type="dxa"/>
          </w:tcPr>
          <w:p w:rsidR="00C457AF" w:rsidRPr="000245F9" w:rsidRDefault="00C457AF" w:rsidP="00C457AF">
            <w:pPr>
              <w:spacing w:after="0" w:line="240" w:lineRule="auto"/>
              <w:contextualSpacing/>
              <w:mirrorIndents/>
              <w:jc w:val="both"/>
              <w:rPr>
                <w:rFonts w:ascii="Arial" w:eastAsia="Arial Unicode MS" w:hAnsi="Arial" w:cs="Arial"/>
                <w:lang w:eastAsia="el-GR"/>
              </w:rPr>
            </w:pPr>
            <w:r w:rsidRPr="000245F9">
              <w:rPr>
                <w:rFonts w:ascii="Arial" w:eastAsia="Arial Unicode MS" w:hAnsi="Arial" w:cs="Arial"/>
                <w:lang w:eastAsia="el-GR"/>
              </w:rPr>
              <w:t>(β) με την αντικατάσταση της παραγράφου (γ) του εδαφίου (3) με την ακόλουθη νέα παράγραφο:</w:t>
            </w:r>
          </w:p>
        </w:tc>
      </w:tr>
      <w:tr w:rsidR="00C457AF" w:rsidRPr="00724FF6" w:rsidTr="00C457AF">
        <w:trPr>
          <w:trHeight w:val="462"/>
        </w:trPr>
        <w:tc>
          <w:tcPr>
            <w:tcW w:w="2189" w:type="dxa"/>
          </w:tcPr>
          <w:p w:rsidR="00C457AF" w:rsidRPr="00724FF6" w:rsidRDefault="00C457AF" w:rsidP="00C457AF">
            <w:pPr>
              <w:spacing w:after="0" w:line="240" w:lineRule="auto"/>
              <w:contextualSpacing/>
              <w:mirrorIndents/>
              <w:jc w:val="both"/>
              <w:rPr>
                <w:rFonts w:ascii="Arial" w:eastAsia="Arial Unicode MS" w:hAnsi="Arial" w:cs="Arial"/>
                <w:sz w:val="18"/>
                <w:szCs w:val="18"/>
                <w:lang w:eastAsia="el-GR"/>
              </w:rPr>
            </w:pPr>
          </w:p>
        </w:tc>
        <w:tc>
          <w:tcPr>
            <w:tcW w:w="581" w:type="dxa"/>
          </w:tcPr>
          <w:p w:rsidR="00C457AF" w:rsidRPr="000245F9" w:rsidRDefault="00C457AF" w:rsidP="00C457AF">
            <w:pPr>
              <w:spacing w:after="0" w:line="240" w:lineRule="auto"/>
              <w:contextualSpacing/>
              <w:mirrorIndents/>
              <w:jc w:val="both"/>
              <w:rPr>
                <w:rFonts w:ascii="Arial" w:eastAsia="Arial Unicode MS" w:hAnsi="Arial" w:cs="Arial"/>
                <w:lang w:eastAsia="el-GR"/>
              </w:rPr>
            </w:pPr>
          </w:p>
        </w:tc>
        <w:tc>
          <w:tcPr>
            <w:tcW w:w="6592" w:type="dxa"/>
          </w:tcPr>
          <w:p w:rsidR="00C457AF" w:rsidRPr="000245F9" w:rsidRDefault="00C457AF" w:rsidP="00C457AF">
            <w:pPr>
              <w:spacing w:after="0" w:line="240" w:lineRule="auto"/>
              <w:contextualSpacing/>
              <w:mirrorIndents/>
              <w:jc w:val="both"/>
              <w:rPr>
                <w:rFonts w:ascii="Arial" w:eastAsia="Arial Unicode MS" w:hAnsi="Arial" w:cs="Arial"/>
                <w:lang w:eastAsia="el-GR"/>
              </w:rPr>
            </w:pPr>
          </w:p>
        </w:tc>
      </w:tr>
      <w:tr w:rsidR="00C457AF" w:rsidRPr="00724FF6" w:rsidTr="00C457AF">
        <w:trPr>
          <w:trHeight w:val="231"/>
        </w:trPr>
        <w:tc>
          <w:tcPr>
            <w:tcW w:w="2189" w:type="dxa"/>
          </w:tcPr>
          <w:p w:rsidR="00C457AF" w:rsidRPr="00724FF6" w:rsidRDefault="00C457AF" w:rsidP="00C457AF">
            <w:pPr>
              <w:spacing w:after="0" w:line="240" w:lineRule="auto"/>
              <w:contextualSpacing/>
              <w:mirrorIndents/>
              <w:jc w:val="both"/>
              <w:rPr>
                <w:rFonts w:ascii="Arial" w:eastAsia="Arial Unicode MS" w:hAnsi="Arial" w:cs="Arial"/>
                <w:sz w:val="18"/>
                <w:szCs w:val="18"/>
                <w:lang w:eastAsia="el-GR"/>
              </w:rPr>
            </w:pPr>
          </w:p>
        </w:tc>
        <w:tc>
          <w:tcPr>
            <w:tcW w:w="581" w:type="dxa"/>
          </w:tcPr>
          <w:p w:rsidR="00C457AF" w:rsidRPr="000245F9" w:rsidRDefault="00C457AF" w:rsidP="00C457AF">
            <w:pPr>
              <w:spacing w:after="0" w:line="240" w:lineRule="auto"/>
              <w:contextualSpacing/>
              <w:mirrorIndents/>
              <w:jc w:val="both"/>
              <w:rPr>
                <w:rFonts w:ascii="Arial" w:eastAsia="Arial Unicode MS" w:hAnsi="Arial" w:cs="Arial"/>
                <w:lang w:eastAsia="el-GR"/>
              </w:rPr>
            </w:pPr>
          </w:p>
        </w:tc>
        <w:tc>
          <w:tcPr>
            <w:tcW w:w="6592" w:type="dxa"/>
          </w:tcPr>
          <w:p w:rsidR="00C457AF" w:rsidRPr="000245F9" w:rsidRDefault="00C457AF" w:rsidP="00C457AF">
            <w:pPr>
              <w:spacing w:after="0" w:line="240" w:lineRule="auto"/>
              <w:contextualSpacing/>
              <w:mirrorIndents/>
              <w:jc w:val="both"/>
              <w:rPr>
                <w:rFonts w:ascii="Arial" w:eastAsia="Arial Unicode MS" w:hAnsi="Arial" w:cs="Arial"/>
                <w:lang w:eastAsia="el-GR"/>
              </w:rPr>
            </w:pPr>
            <w:r w:rsidRPr="00E20589">
              <w:rPr>
                <w:rFonts w:ascii="Arial" w:eastAsia="Arial Unicode MS" w:hAnsi="Arial" w:cs="Arial"/>
                <w:lang w:eastAsia="el-GR"/>
              </w:rPr>
              <w:t xml:space="preserve">«(γ) Τα μέτρα στήριξης που αναφέρονται στην </w:t>
            </w:r>
            <w:proofErr w:type="spellStart"/>
            <w:r w:rsidRPr="00E20589">
              <w:rPr>
                <w:rFonts w:ascii="Arial" w:eastAsia="Arial Unicode MS" w:hAnsi="Arial" w:cs="Arial"/>
                <w:lang w:eastAsia="el-GR"/>
              </w:rPr>
              <w:t>υποπαράγραφο</w:t>
            </w:r>
            <w:proofErr w:type="spellEnd"/>
            <w:r w:rsidRPr="00E20589">
              <w:rPr>
                <w:rFonts w:ascii="Arial" w:eastAsia="Arial Unicode MS" w:hAnsi="Arial" w:cs="Arial"/>
                <w:lang w:eastAsia="el-GR"/>
              </w:rPr>
              <w:t xml:space="preserve"> (</w:t>
            </w:r>
            <w:proofErr w:type="spellStart"/>
            <w:r w:rsidRPr="00E20589">
              <w:rPr>
                <w:rFonts w:ascii="Arial" w:eastAsia="Arial Unicode MS" w:hAnsi="Arial" w:cs="Arial"/>
                <w:lang w:eastAsia="el-GR"/>
              </w:rPr>
              <w:t>iii</w:t>
            </w:r>
            <w:proofErr w:type="spellEnd"/>
            <w:r w:rsidRPr="00E20589">
              <w:rPr>
                <w:rFonts w:ascii="Arial" w:eastAsia="Arial Unicode MS" w:hAnsi="Arial" w:cs="Arial"/>
                <w:lang w:eastAsia="el-GR"/>
              </w:rPr>
              <w:t>) της παραγράφου (δ) του εδαφίου (2) περιορίζονται σε εισφορές που είναι αναγκαίες για να αντιμετωπιστεί η έλλειψη κεφαλαίων που έχει διαπιστωθεί στο πλαίσιο προσομοίωσης ακραίων καταστάσεων στο επίπεδο της Δημοκρατίας, της Ευρωπαϊκής Ένωσης ή του ενιαίου μηχανισμού εποπτείας (</w:t>
            </w:r>
            <w:r w:rsidRPr="00E20589">
              <w:rPr>
                <w:rFonts w:ascii="Arial" w:eastAsia="Arial Unicode MS" w:hAnsi="Arial" w:cs="Arial"/>
                <w:lang w:val="en-GB" w:eastAsia="el-GR"/>
              </w:rPr>
              <w:t>SSM</w:t>
            </w:r>
            <w:r w:rsidRPr="00E20589">
              <w:rPr>
                <w:rFonts w:ascii="Arial" w:eastAsia="Arial Unicode MS" w:hAnsi="Arial" w:cs="Arial"/>
                <w:lang w:eastAsia="el-GR"/>
              </w:rPr>
              <w:t>), ή στο πλαίσιο ελέγχου της ποιότητας των στοιχείων ενεργητικού ή ισοδύναμου ελέγχου που διεξάγεται από την Ευρωπαϊκή Κεντρική Τράπεζα, την ΕΑΤ ή την Κεντρική Τράπεζα, κατά περίπτωση, με επιβεβαίωση από την Κεντρική Τράπεζα, ως αρμόδια αρχή.».</w:t>
            </w:r>
          </w:p>
        </w:tc>
      </w:tr>
    </w:tbl>
    <w:p w:rsidR="00EE4193" w:rsidRPr="00724FF6" w:rsidRDefault="00EE4193" w:rsidP="000245F9">
      <w:pPr>
        <w:rPr>
          <w:rFonts w:ascii="Arial" w:hAnsi="Arial" w:cs="Arial"/>
          <w:sz w:val="18"/>
          <w:szCs w:val="18"/>
          <w:u w:val="single"/>
        </w:rPr>
      </w:pPr>
    </w:p>
    <w:sectPr w:rsidR="00EE4193" w:rsidRPr="00724FF6" w:rsidSect="000245F9">
      <w:pgSz w:w="11906" w:h="16838"/>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3376" w:rsidRDefault="001A3376" w:rsidP="00B4574C">
      <w:pPr>
        <w:spacing w:after="0" w:line="240" w:lineRule="auto"/>
      </w:pPr>
      <w:r>
        <w:separator/>
      </w:r>
    </w:p>
  </w:endnote>
  <w:endnote w:type="continuationSeparator" w:id="0">
    <w:p w:rsidR="001A3376" w:rsidRDefault="001A3376" w:rsidP="00B4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21002A87"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3376" w:rsidRDefault="001A3376" w:rsidP="00B4574C">
      <w:pPr>
        <w:spacing w:after="0" w:line="240" w:lineRule="auto"/>
      </w:pPr>
      <w:r>
        <w:separator/>
      </w:r>
    </w:p>
  </w:footnote>
  <w:footnote w:type="continuationSeparator" w:id="0">
    <w:p w:rsidR="001A3376" w:rsidRDefault="001A3376" w:rsidP="00B45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0374D"/>
    <w:multiLevelType w:val="multilevel"/>
    <w:tmpl w:val="A442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0875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93"/>
    <w:rsid w:val="00001802"/>
    <w:rsid w:val="0000221D"/>
    <w:rsid w:val="0000272F"/>
    <w:rsid w:val="000028BB"/>
    <w:rsid w:val="00004A48"/>
    <w:rsid w:val="00007BBC"/>
    <w:rsid w:val="00015A7A"/>
    <w:rsid w:val="000202D0"/>
    <w:rsid w:val="00022426"/>
    <w:rsid w:val="0002446F"/>
    <w:rsid w:val="000245F9"/>
    <w:rsid w:val="00026D78"/>
    <w:rsid w:val="00027F57"/>
    <w:rsid w:val="00034635"/>
    <w:rsid w:val="00037450"/>
    <w:rsid w:val="00041A5C"/>
    <w:rsid w:val="000430C3"/>
    <w:rsid w:val="00055AA7"/>
    <w:rsid w:val="00067186"/>
    <w:rsid w:val="0007020B"/>
    <w:rsid w:val="00071002"/>
    <w:rsid w:val="0007280D"/>
    <w:rsid w:val="00073C87"/>
    <w:rsid w:val="00081457"/>
    <w:rsid w:val="00084EBD"/>
    <w:rsid w:val="00085A4B"/>
    <w:rsid w:val="00092B0E"/>
    <w:rsid w:val="00093B5A"/>
    <w:rsid w:val="0009567A"/>
    <w:rsid w:val="000A19BA"/>
    <w:rsid w:val="000A588A"/>
    <w:rsid w:val="000A6CDE"/>
    <w:rsid w:val="000A746B"/>
    <w:rsid w:val="000A756B"/>
    <w:rsid w:val="000B0BDB"/>
    <w:rsid w:val="000B3FBA"/>
    <w:rsid w:val="000B641F"/>
    <w:rsid w:val="000B6908"/>
    <w:rsid w:val="000C4BEC"/>
    <w:rsid w:val="000D096F"/>
    <w:rsid w:val="000D1393"/>
    <w:rsid w:val="000D6C85"/>
    <w:rsid w:val="000E188F"/>
    <w:rsid w:val="000E2B61"/>
    <w:rsid w:val="000F2C6B"/>
    <w:rsid w:val="000F6FBB"/>
    <w:rsid w:val="00100DB0"/>
    <w:rsid w:val="00113888"/>
    <w:rsid w:val="001175DA"/>
    <w:rsid w:val="00117DEA"/>
    <w:rsid w:val="001318F2"/>
    <w:rsid w:val="001324AD"/>
    <w:rsid w:val="00132A7B"/>
    <w:rsid w:val="00135E03"/>
    <w:rsid w:val="00141561"/>
    <w:rsid w:val="0014498D"/>
    <w:rsid w:val="001536D4"/>
    <w:rsid w:val="0015679F"/>
    <w:rsid w:val="00156D0C"/>
    <w:rsid w:val="0016464D"/>
    <w:rsid w:val="00164ED6"/>
    <w:rsid w:val="0016737F"/>
    <w:rsid w:val="00171260"/>
    <w:rsid w:val="00172674"/>
    <w:rsid w:val="00174FE1"/>
    <w:rsid w:val="0017624E"/>
    <w:rsid w:val="00180542"/>
    <w:rsid w:val="00184A6B"/>
    <w:rsid w:val="0018535F"/>
    <w:rsid w:val="00191ECA"/>
    <w:rsid w:val="001941EE"/>
    <w:rsid w:val="001A1D22"/>
    <w:rsid w:val="001A25C2"/>
    <w:rsid w:val="001A3376"/>
    <w:rsid w:val="001A4BAB"/>
    <w:rsid w:val="001A4D4D"/>
    <w:rsid w:val="001A5473"/>
    <w:rsid w:val="001C0173"/>
    <w:rsid w:val="001C4EB4"/>
    <w:rsid w:val="001C6C33"/>
    <w:rsid w:val="001D26EB"/>
    <w:rsid w:val="001D3441"/>
    <w:rsid w:val="001E082A"/>
    <w:rsid w:val="001E7CCA"/>
    <w:rsid w:val="001F2676"/>
    <w:rsid w:val="002020FA"/>
    <w:rsid w:val="00202FE3"/>
    <w:rsid w:val="00214A42"/>
    <w:rsid w:val="00220A46"/>
    <w:rsid w:val="00223728"/>
    <w:rsid w:val="002319DC"/>
    <w:rsid w:val="00244163"/>
    <w:rsid w:val="00244E43"/>
    <w:rsid w:val="002459C4"/>
    <w:rsid w:val="002525ED"/>
    <w:rsid w:val="002555EA"/>
    <w:rsid w:val="0026140C"/>
    <w:rsid w:val="00261906"/>
    <w:rsid w:val="00261B62"/>
    <w:rsid w:val="00266525"/>
    <w:rsid w:val="0026695F"/>
    <w:rsid w:val="00273881"/>
    <w:rsid w:val="0027544C"/>
    <w:rsid w:val="002779D1"/>
    <w:rsid w:val="00292DAF"/>
    <w:rsid w:val="0029615C"/>
    <w:rsid w:val="002A1357"/>
    <w:rsid w:val="002A44CA"/>
    <w:rsid w:val="002A6840"/>
    <w:rsid w:val="002B1266"/>
    <w:rsid w:val="002B2A08"/>
    <w:rsid w:val="002C0A0A"/>
    <w:rsid w:val="002C4737"/>
    <w:rsid w:val="002D23E3"/>
    <w:rsid w:val="002D24C4"/>
    <w:rsid w:val="002D3A06"/>
    <w:rsid w:val="002E57DC"/>
    <w:rsid w:val="002E6A25"/>
    <w:rsid w:val="002E6A3C"/>
    <w:rsid w:val="002F0CDC"/>
    <w:rsid w:val="002F698F"/>
    <w:rsid w:val="0030530F"/>
    <w:rsid w:val="0030743D"/>
    <w:rsid w:val="003076FA"/>
    <w:rsid w:val="00310231"/>
    <w:rsid w:val="0031442F"/>
    <w:rsid w:val="003163EF"/>
    <w:rsid w:val="00317436"/>
    <w:rsid w:val="00320837"/>
    <w:rsid w:val="00324AAE"/>
    <w:rsid w:val="003312E6"/>
    <w:rsid w:val="003317A1"/>
    <w:rsid w:val="0033738B"/>
    <w:rsid w:val="0034000A"/>
    <w:rsid w:val="003435F7"/>
    <w:rsid w:val="00343DF4"/>
    <w:rsid w:val="00346B98"/>
    <w:rsid w:val="00353DB3"/>
    <w:rsid w:val="0035512A"/>
    <w:rsid w:val="00360329"/>
    <w:rsid w:val="00361425"/>
    <w:rsid w:val="003666A2"/>
    <w:rsid w:val="003728B5"/>
    <w:rsid w:val="00372A1A"/>
    <w:rsid w:val="00383B1B"/>
    <w:rsid w:val="00384B8E"/>
    <w:rsid w:val="00390F9A"/>
    <w:rsid w:val="003932B0"/>
    <w:rsid w:val="00395580"/>
    <w:rsid w:val="003A76A0"/>
    <w:rsid w:val="003B11B2"/>
    <w:rsid w:val="003B3E4E"/>
    <w:rsid w:val="003C227F"/>
    <w:rsid w:val="003C3F5B"/>
    <w:rsid w:val="003C56E1"/>
    <w:rsid w:val="003E4562"/>
    <w:rsid w:val="003E52CB"/>
    <w:rsid w:val="003F047E"/>
    <w:rsid w:val="003F12F1"/>
    <w:rsid w:val="003F37FA"/>
    <w:rsid w:val="003F3A05"/>
    <w:rsid w:val="00407889"/>
    <w:rsid w:val="004151DA"/>
    <w:rsid w:val="0042319F"/>
    <w:rsid w:val="00423D91"/>
    <w:rsid w:val="00434082"/>
    <w:rsid w:val="0044371B"/>
    <w:rsid w:val="004449FD"/>
    <w:rsid w:val="00453A18"/>
    <w:rsid w:val="0045476A"/>
    <w:rsid w:val="0045511D"/>
    <w:rsid w:val="00456742"/>
    <w:rsid w:val="004605DE"/>
    <w:rsid w:val="00462102"/>
    <w:rsid w:val="00471A88"/>
    <w:rsid w:val="00472CCE"/>
    <w:rsid w:val="0047300A"/>
    <w:rsid w:val="00473B96"/>
    <w:rsid w:val="00480141"/>
    <w:rsid w:val="00480BC9"/>
    <w:rsid w:val="00485EEF"/>
    <w:rsid w:val="00486CFF"/>
    <w:rsid w:val="00491327"/>
    <w:rsid w:val="00492CBE"/>
    <w:rsid w:val="004B154F"/>
    <w:rsid w:val="004C0C10"/>
    <w:rsid w:val="004C1003"/>
    <w:rsid w:val="004C15C7"/>
    <w:rsid w:val="004C20D9"/>
    <w:rsid w:val="004C3F7D"/>
    <w:rsid w:val="004C40EF"/>
    <w:rsid w:val="004C536D"/>
    <w:rsid w:val="004C70A3"/>
    <w:rsid w:val="004D1091"/>
    <w:rsid w:val="004D5C2F"/>
    <w:rsid w:val="004D6CAF"/>
    <w:rsid w:val="004E1733"/>
    <w:rsid w:val="004E2ACE"/>
    <w:rsid w:val="004E570A"/>
    <w:rsid w:val="004E6BB0"/>
    <w:rsid w:val="004F16DD"/>
    <w:rsid w:val="004F4053"/>
    <w:rsid w:val="004F70AA"/>
    <w:rsid w:val="00503347"/>
    <w:rsid w:val="0051137B"/>
    <w:rsid w:val="005204F7"/>
    <w:rsid w:val="00527B6E"/>
    <w:rsid w:val="0053002B"/>
    <w:rsid w:val="00533F38"/>
    <w:rsid w:val="00534F62"/>
    <w:rsid w:val="005426C0"/>
    <w:rsid w:val="00543D31"/>
    <w:rsid w:val="00546728"/>
    <w:rsid w:val="00551E23"/>
    <w:rsid w:val="00556F21"/>
    <w:rsid w:val="00571443"/>
    <w:rsid w:val="00572ED8"/>
    <w:rsid w:val="00574E47"/>
    <w:rsid w:val="00584CD4"/>
    <w:rsid w:val="0058631A"/>
    <w:rsid w:val="00586562"/>
    <w:rsid w:val="005925F3"/>
    <w:rsid w:val="00594946"/>
    <w:rsid w:val="005958D8"/>
    <w:rsid w:val="00595B43"/>
    <w:rsid w:val="005964DF"/>
    <w:rsid w:val="005A7E7A"/>
    <w:rsid w:val="005B7CFC"/>
    <w:rsid w:val="005C298A"/>
    <w:rsid w:val="005D4012"/>
    <w:rsid w:val="005E6A0D"/>
    <w:rsid w:val="005F0A2C"/>
    <w:rsid w:val="00600D22"/>
    <w:rsid w:val="0060195C"/>
    <w:rsid w:val="0060407D"/>
    <w:rsid w:val="0060658A"/>
    <w:rsid w:val="00610B65"/>
    <w:rsid w:val="006132BE"/>
    <w:rsid w:val="00613AE6"/>
    <w:rsid w:val="00617406"/>
    <w:rsid w:val="0061773D"/>
    <w:rsid w:val="00625798"/>
    <w:rsid w:val="00632CE9"/>
    <w:rsid w:val="00633FCC"/>
    <w:rsid w:val="00634600"/>
    <w:rsid w:val="006355EA"/>
    <w:rsid w:val="006369DD"/>
    <w:rsid w:val="0066427A"/>
    <w:rsid w:val="00665B65"/>
    <w:rsid w:val="00670E59"/>
    <w:rsid w:val="00673CFD"/>
    <w:rsid w:val="00676CDD"/>
    <w:rsid w:val="006779DD"/>
    <w:rsid w:val="00680499"/>
    <w:rsid w:val="00686E25"/>
    <w:rsid w:val="006B055B"/>
    <w:rsid w:val="006B3893"/>
    <w:rsid w:val="006B4A0B"/>
    <w:rsid w:val="006C0678"/>
    <w:rsid w:val="006D3D45"/>
    <w:rsid w:val="006E68D9"/>
    <w:rsid w:val="006F140E"/>
    <w:rsid w:val="00703C9C"/>
    <w:rsid w:val="007045D7"/>
    <w:rsid w:val="00705A6C"/>
    <w:rsid w:val="00712E89"/>
    <w:rsid w:val="007132E8"/>
    <w:rsid w:val="00717A07"/>
    <w:rsid w:val="00723C42"/>
    <w:rsid w:val="00724DA3"/>
    <w:rsid w:val="00724FF6"/>
    <w:rsid w:val="00725FEB"/>
    <w:rsid w:val="00731769"/>
    <w:rsid w:val="007363FA"/>
    <w:rsid w:val="00736B61"/>
    <w:rsid w:val="0074392D"/>
    <w:rsid w:val="00743ADD"/>
    <w:rsid w:val="00745521"/>
    <w:rsid w:val="00745A44"/>
    <w:rsid w:val="00747B6D"/>
    <w:rsid w:val="007549F3"/>
    <w:rsid w:val="007558AF"/>
    <w:rsid w:val="00762022"/>
    <w:rsid w:val="00771B27"/>
    <w:rsid w:val="00772EB2"/>
    <w:rsid w:val="007758A7"/>
    <w:rsid w:val="00784A30"/>
    <w:rsid w:val="0079029C"/>
    <w:rsid w:val="00791319"/>
    <w:rsid w:val="007A48BD"/>
    <w:rsid w:val="007B12F8"/>
    <w:rsid w:val="007B7B7E"/>
    <w:rsid w:val="007C3F5C"/>
    <w:rsid w:val="007C5261"/>
    <w:rsid w:val="007D43EE"/>
    <w:rsid w:val="007D4658"/>
    <w:rsid w:val="007D743F"/>
    <w:rsid w:val="007D777C"/>
    <w:rsid w:val="007E4556"/>
    <w:rsid w:val="007E4F89"/>
    <w:rsid w:val="007E5A90"/>
    <w:rsid w:val="007F73CE"/>
    <w:rsid w:val="008028D1"/>
    <w:rsid w:val="00807D5B"/>
    <w:rsid w:val="00810AA2"/>
    <w:rsid w:val="00812138"/>
    <w:rsid w:val="00815913"/>
    <w:rsid w:val="00816500"/>
    <w:rsid w:val="00820ECA"/>
    <w:rsid w:val="008272C7"/>
    <w:rsid w:val="00831946"/>
    <w:rsid w:val="00842DF9"/>
    <w:rsid w:val="00844DD0"/>
    <w:rsid w:val="00847F39"/>
    <w:rsid w:val="00854FF9"/>
    <w:rsid w:val="00855425"/>
    <w:rsid w:val="0085565F"/>
    <w:rsid w:val="008841BC"/>
    <w:rsid w:val="00884290"/>
    <w:rsid w:val="0088556B"/>
    <w:rsid w:val="00891987"/>
    <w:rsid w:val="008924C4"/>
    <w:rsid w:val="008935E4"/>
    <w:rsid w:val="00893DBD"/>
    <w:rsid w:val="00893F47"/>
    <w:rsid w:val="008969F7"/>
    <w:rsid w:val="008977AE"/>
    <w:rsid w:val="008A4601"/>
    <w:rsid w:val="008A4C9C"/>
    <w:rsid w:val="008B37CF"/>
    <w:rsid w:val="008B76B8"/>
    <w:rsid w:val="008C057E"/>
    <w:rsid w:val="008C3574"/>
    <w:rsid w:val="008D0ACC"/>
    <w:rsid w:val="008D5349"/>
    <w:rsid w:val="008E4C04"/>
    <w:rsid w:val="008E57B7"/>
    <w:rsid w:val="008F132D"/>
    <w:rsid w:val="008F447A"/>
    <w:rsid w:val="00906590"/>
    <w:rsid w:val="009075A5"/>
    <w:rsid w:val="0091155F"/>
    <w:rsid w:val="00911E1E"/>
    <w:rsid w:val="00917105"/>
    <w:rsid w:val="0094127D"/>
    <w:rsid w:val="00950B4D"/>
    <w:rsid w:val="00954ADA"/>
    <w:rsid w:val="0096098F"/>
    <w:rsid w:val="00961685"/>
    <w:rsid w:val="00970187"/>
    <w:rsid w:val="009711DB"/>
    <w:rsid w:val="00972857"/>
    <w:rsid w:val="009735E8"/>
    <w:rsid w:val="0097370D"/>
    <w:rsid w:val="00973B2F"/>
    <w:rsid w:val="00974F6B"/>
    <w:rsid w:val="009822CC"/>
    <w:rsid w:val="00983BFA"/>
    <w:rsid w:val="00987B7C"/>
    <w:rsid w:val="00990A96"/>
    <w:rsid w:val="00992D09"/>
    <w:rsid w:val="00993873"/>
    <w:rsid w:val="009A1CF2"/>
    <w:rsid w:val="009A595C"/>
    <w:rsid w:val="009B06D7"/>
    <w:rsid w:val="009C190A"/>
    <w:rsid w:val="009C2A2D"/>
    <w:rsid w:val="009C40C1"/>
    <w:rsid w:val="009D649E"/>
    <w:rsid w:val="009D77B9"/>
    <w:rsid w:val="009E1F42"/>
    <w:rsid w:val="009E451F"/>
    <w:rsid w:val="009E4C1A"/>
    <w:rsid w:val="009E5AEA"/>
    <w:rsid w:val="009F2727"/>
    <w:rsid w:val="00A0485B"/>
    <w:rsid w:val="00A10389"/>
    <w:rsid w:val="00A12B7F"/>
    <w:rsid w:val="00A134F8"/>
    <w:rsid w:val="00A141E6"/>
    <w:rsid w:val="00A25A84"/>
    <w:rsid w:val="00A25FB5"/>
    <w:rsid w:val="00A31393"/>
    <w:rsid w:val="00A3776E"/>
    <w:rsid w:val="00A432A2"/>
    <w:rsid w:val="00A53322"/>
    <w:rsid w:val="00A53CDF"/>
    <w:rsid w:val="00A56098"/>
    <w:rsid w:val="00A84467"/>
    <w:rsid w:val="00A878A7"/>
    <w:rsid w:val="00A917A5"/>
    <w:rsid w:val="00AA08B3"/>
    <w:rsid w:val="00AA2F99"/>
    <w:rsid w:val="00AA40D4"/>
    <w:rsid w:val="00AA4430"/>
    <w:rsid w:val="00AA7C65"/>
    <w:rsid w:val="00AB1029"/>
    <w:rsid w:val="00AC1E74"/>
    <w:rsid w:val="00AF2BCD"/>
    <w:rsid w:val="00AF5D63"/>
    <w:rsid w:val="00AF686D"/>
    <w:rsid w:val="00B012EE"/>
    <w:rsid w:val="00B04C0B"/>
    <w:rsid w:val="00B05518"/>
    <w:rsid w:val="00B06DA2"/>
    <w:rsid w:val="00B0764E"/>
    <w:rsid w:val="00B148BD"/>
    <w:rsid w:val="00B211FC"/>
    <w:rsid w:val="00B227C3"/>
    <w:rsid w:val="00B23B8C"/>
    <w:rsid w:val="00B2429E"/>
    <w:rsid w:val="00B312D7"/>
    <w:rsid w:val="00B36630"/>
    <w:rsid w:val="00B4088C"/>
    <w:rsid w:val="00B41251"/>
    <w:rsid w:val="00B4574C"/>
    <w:rsid w:val="00B5569E"/>
    <w:rsid w:val="00B64FD2"/>
    <w:rsid w:val="00B663DF"/>
    <w:rsid w:val="00B67BB2"/>
    <w:rsid w:val="00B74C25"/>
    <w:rsid w:val="00B75847"/>
    <w:rsid w:val="00B7599E"/>
    <w:rsid w:val="00B777FA"/>
    <w:rsid w:val="00B8110C"/>
    <w:rsid w:val="00B81192"/>
    <w:rsid w:val="00B8235F"/>
    <w:rsid w:val="00B87804"/>
    <w:rsid w:val="00B90B20"/>
    <w:rsid w:val="00B93508"/>
    <w:rsid w:val="00B93C92"/>
    <w:rsid w:val="00B95AB6"/>
    <w:rsid w:val="00BA66B8"/>
    <w:rsid w:val="00BA712A"/>
    <w:rsid w:val="00BB3093"/>
    <w:rsid w:val="00BC2177"/>
    <w:rsid w:val="00BC3D54"/>
    <w:rsid w:val="00BD3BF0"/>
    <w:rsid w:val="00BD621A"/>
    <w:rsid w:val="00BE5E7C"/>
    <w:rsid w:val="00BF6974"/>
    <w:rsid w:val="00C025B2"/>
    <w:rsid w:val="00C063F6"/>
    <w:rsid w:val="00C127B6"/>
    <w:rsid w:val="00C12C08"/>
    <w:rsid w:val="00C14C79"/>
    <w:rsid w:val="00C152B2"/>
    <w:rsid w:val="00C1542A"/>
    <w:rsid w:val="00C1638F"/>
    <w:rsid w:val="00C17547"/>
    <w:rsid w:val="00C21B58"/>
    <w:rsid w:val="00C325D0"/>
    <w:rsid w:val="00C34586"/>
    <w:rsid w:val="00C350A6"/>
    <w:rsid w:val="00C364B9"/>
    <w:rsid w:val="00C42F5D"/>
    <w:rsid w:val="00C457AF"/>
    <w:rsid w:val="00C463FC"/>
    <w:rsid w:val="00C47CF5"/>
    <w:rsid w:val="00C5106C"/>
    <w:rsid w:val="00C531F6"/>
    <w:rsid w:val="00C56898"/>
    <w:rsid w:val="00C56E62"/>
    <w:rsid w:val="00C63258"/>
    <w:rsid w:val="00C741FF"/>
    <w:rsid w:val="00C77FB7"/>
    <w:rsid w:val="00C82337"/>
    <w:rsid w:val="00C925C0"/>
    <w:rsid w:val="00C93391"/>
    <w:rsid w:val="00C93889"/>
    <w:rsid w:val="00CB1956"/>
    <w:rsid w:val="00CD04C8"/>
    <w:rsid w:val="00CD5593"/>
    <w:rsid w:val="00CE1425"/>
    <w:rsid w:val="00CE3E33"/>
    <w:rsid w:val="00CE652C"/>
    <w:rsid w:val="00CE7FDC"/>
    <w:rsid w:val="00CF0873"/>
    <w:rsid w:val="00CF242F"/>
    <w:rsid w:val="00D009EB"/>
    <w:rsid w:val="00D00EAD"/>
    <w:rsid w:val="00D04B84"/>
    <w:rsid w:val="00D05520"/>
    <w:rsid w:val="00D0684A"/>
    <w:rsid w:val="00D10C6A"/>
    <w:rsid w:val="00D11FA1"/>
    <w:rsid w:val="00D13EAF"/>
    <w:rsid w:val="00D15395"/>
    <w:rsid w:val="00D1558E"/>
    <w:rsid w:val="00D17665"/>
    <w:rsid w:val="00D255BE"/>
    <w:rsid w:val="00D260C2"/>
    <w:rsid w:val="00D3085D"/>
    <w:rsid w:val="00D37062"/>
    <w:rsid w:val="00D51DE1"/>
    <w:rsid w:val="00D663B6"/>
    <w:rsid w:val="00D66AA2"/>
    <w:rsid w:val="00D73387"/>
    <w:rsid w:val="00D73EC8"/>
    <w:rsid w:val="00D75778"/>
    <w:rsid w:val="00D80C7F"/>
    <w:rsid w:val="00D82B11"/>
    <w:rsid w:val="00D84859"/>
    <w:rsid w:val="00D87BF0"/>
    <w:rsid w:val="00D92C3F"/>
    <w:rsid w:val="00DA1F31"/>
    <w:rsid w:val="00DA3397"/>
    <w:rsid w:val="00DA7895"/>
    <w:rsid w:val="00DB1E1C"/>
    <w:rsid w:val="00DB426B"/>
    <w:rsid w:val="00DB53A8"/>
    <w:rsid w:val="00DB5F47"/>
    <w:rsid w:val="00DC1FA8"/>
    <w:rsid w:val="00DC2437"/>
    <w:rsid w:val="00DD61DF"/>
    <w:rsid w:val="00DE28FA"/>
    <w:rsid w:val="00DE4896"/>
    <w:rsid w:val="00DF4804"/>
    <w:rsid w:val="00E0224F"/>
    <w:rsid w:val="00E02BEB"/>
    <w:rsid w:val="00E07C9D"/>
    <w:rsid w:val="00E14076"/>
    <w:rsid w:val="00E147BF"/>
    <w:rsid w:val="00E1493A"/>
    <w:rsid w:val="00E17E17"/>
    <w:rsid w:val="00E20589"/>
    <w:rsid w:val="00E25B17"/>
    <w:rsid w:val="00E25F33"/>
    <w:rsid w:val="00E2620B"/>
    <w:rsid w:val="00E429D3"/>
    <w:rsid w:val="00E462F6"/>
    <w:rsid w:val="00E56B7A"/>
    <w:rsid w:val="00E57AE5"/>
    <w:rsid w:val="00E57B00"/>
    <w:rsid w:val="00E63528"/>
    <w:rsid w:val="00E635D2"/>
    <w:rsid w:val="00E63C43"/>
    <w:rsid w:val="00E64B45"/>
    <w:rsid w:val="00E71556"/>
    <w:rsid w:val="00E72D8F"/>
    <w:rsid w:val="00E73804"/>
    <w:rsid w:val="00E75289"/>
    <w:rsid w:val="00E82D85"/>
    <w:rsid w:val="00EA3237"/>
    <w:rsid w:val="00EA64F9"/>
    <w:rsid w:val="00EB0DC8"/>
    <w:rsid w:val="00EC454B"/>
    <w:rsid w:val="00EC75DA"/>
    <w:rsid w:val="00EC7942"/>
    <w:rsid w:val="00ED0D34"/>
    <w:rsid w:val="00ED5A72"/>
    <w:rsid w:val="00EE3E16"/>
    <w:rsid w:val="00EE4193"/>
    <w:rsid w:val="00EE7BF4"/>
    <w:rsid w:val="00F03DAA"/>
    <w:rsid w:val="00F2704A"/>
    <w:rsid w:val="00F37495"/>
    <w:rsid w:val="00F431F9"/>
    <w:rsid w:val="00F43B93"/>
    <w:rsid w:val="00F46C5C"/>
    <w:rsid w:val="00F47942"/>
    <w:rsid w:val="00F538D4"/>
    <w:rsid w:val="00F809E8"/>
    <w:rsid w:val="00FA1A49"/>
    <w:rsid w:val="00FA5A29"/>
    <w:rsid w:val="00FB266B"/>
    <w:rsid w:val="00FB30D5"/>
    <w:rsid w:val="00FC4A3B"/>
    <w:rsid w:val="00FC56BE"/>
    <w:rsid w:val="00FD370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BACA5"/>
  <w15:chartTrackingRefBased/>
  <w15:docId w15:val="{7F7BF23F-7217-450F-B216-E8E22691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193"/>
    <w:rPr>
      <w:rFonts w:ascii="Segoe UI" w:hAnsi="Segoe UI" w:cs="Segoe UI"/>
      <w:sz w:val="18"/>
      <w:szCs w:val="18"/>
    </w:rPr>
  </w:style>
  <w:style w:type="character" w:styleId="CommentReference">
    <w:name w:val="annotation reference"/>
    <w:basedOn w:val="DefaultParagraphFont"/>
    <w:uiPriority w:val="99"/>
    <w:semiHidden/>
    <w:unhideWhenUsed/>
    <w:rsid w:val="00B74C25"/>
    <w:rPr>
      <w:sz w:val="16"/>
      <w:szCs w:val="16"/>
    </w:rPr>
  </w:style>
  <w:style w:type="paragraph" w:styleId="CommentText">
    <w:name w:val="annotation text"/>
    <w:basedOn w:val="Normal"/>
    <w:link w:val="CommentTextChar"/>
    <w:uiPriority w:val="99"/>
    <w:semiHidden/>
    <w:unhideWhenUsed/>
    <w:rsid w:val="00B74C25"/>
    <w:pPr>
      <w:spacing w:line="240" w:lineRule="auto"/>
    </w:pPr>
    <w:rPr>
      <w:sz w:val="20"/>
      <w:szCs w:val="20"/>
    </w:rPr>
  </w:style>
  <w:style w:type="character" w:customStyle="1" w:styleId="CommentTextChar">
    <w:name w:val="Comment Text Char"/>
    <w:basedOn w:val="DefaultParagraphFont"/>
    <w:link w:val="CommentText"/>
    <w:uiPriority w:val="99"/>
    <w:semiHidden/>
    <w:rsid w:val="00B74C25"/>
    <w:rPr>
      <w:sz w:val="20"/>
      <w:szCs w:val="20"/>
    </w:rPr>
  </w:style>
  <w:style w:type="paragraph" w:styleId="CommentSubject">
    <w:name w:val="annotation subject"/>
    <w:basedOn w:val="CommentText"/>
    <w:next w:val="CommentText"/>
    <w:link w:val="CommentSubjectChar"/>
    <w:uiPriority w:val="99"/>
    <w:semiHidden/>
    <w:unhideWhenUsed/>
    <w:rsid w:val="00B74C25"/>
    <w:rPr>
      <w:b/>
      <w:bCs/>
    </w:rPr>
  </w:style>
  <w:style w:type="character" w:customStyle="1" w:styleId="CommentSubjectChar">
    <w:name w:val="Comment Subject Char"/>
    <w:basedOn w:val="CommentTextChar"/>
    <w:link w:val="CommentSubject"/>
    <w:uiPriority w:val="99"/>
    <w:semiHidden/>
    <w:rsid w:val="00B74C25"/>
    <w:rPr>
      <w:b/>
      <w:bCs/>
      <w:sz w:val="20"/>
      <w:szCs w:val="20"/>
    </w:rPr>
  </w:style>
  <w:style w:type="paragraph" w:customStyle="1" w:styleId="Default">
    <w:name w:val="Default"/>
    <w:rsid w:val="003B3E4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43ADD"/>
    <w:pPr>
      <w:spacing w:after="0" w:line="240" w:lineRule="auto"/>
    </w:pPr>
  </w:style>
  <w:style w:type="paragraph" w:styleId="Header">
    <w:name w:val="header"/>
    <w:basedOn w:val="Normal"/>
    <w:link w:val="HeaderChar"/>
    <w:uiPriority w:val="99"/>
    <w:unhideWhenUsed/>
    <w:rsid w:val="00B45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74C"/>
  </w:style>
  <w:style w:type="paragraph" w:styleId="Footer">
    <w:name w:val="footer"/>
    <w:basedOn w:val="Normal"/>
    <w:link w:val="FooterChar"/>
    <w:uiPriority w:val="99"/>
    <w:unhideWhenUsed/>
    <w:rsid w:val="00B45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74C"/>
  </w:style>
  <w:style w:type="paragraph" w:customStyle="1" w:styleId="indent1">
    <w:name w:val="indent1"/>
    <w:basedOn w:val="Normal"/>
    <w:rsid w:val="004F70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oc-instrument">
    <w:name w:val="toc-instrument"/>
    <w:basedOn w:val="Normal"/>
    <w:rsid w:val="00055AA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oc-instrument-enum">
    <w:name w:val="toc-instrument-enum"/>
    <w:basedOn w:val="DefaultParagraphFont"/>
    <w:rsid w:val="00055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585">
      <w:bodyDiv w:val="1"/>
      <w:marLeft w:val="0"/>
      <w:marRight w:val="0"/>
      <w:marTop w:val="0"/>
      <w:marBottom w:val="0"/>
      <w:divBdr>
        <w:top w:val="none" w:sz="0" w:space="0" w:color="auto"/>
        <w:left w:val="none" w:sz="0" w:space="0" w:color="auto"/>
        <w:bottom w:val="none" w:sz="0" w:space="0" w:color="auto"/>
        <w:right w:val="none" w:sz="0" w:space="0" w:color="auto"/>
      </w:divBdr>
    </w:div>
    <w:div w:id="792938477">
      <w:bodyDiv w:val="1"/>
      <w:marLeft w:val="0"/>
      <w:marRight w:val="0"/>
      <w:marTop w:val="0"/>
      <w:marBottom w:val="0"/>
      <w:divBdr>
        <w:top w:val="none" w:sz="0" w:space="0" w:color="auto"/>
        <w:left w:val="none" w:sz="0" w:space="0" w:color="auto"/>
        <w:bottom w:val="none" w:sz="0" w:space="0" w:color="auto"/>
        <w:right w:val="none" w:sz="0" w:space="0" w:color="auto"/>
      </w:divBdr>
    </w:div>
    <w:div w:id="1903517761">
      <w:bodyDiv w:val="1"/>
      <w:marLeft w:val="0"/>
      <w:marRight w:val="0"/>
      <w:marTop w:val="0"/>
      <w:marBottom w:val="0"/>
      <w:divBdr>
        <w:top w:val="none" w:sz="0" w:space="0" w:color="auto"/>
        <w:left w:val="none" w:sz="0" w:space="0" w:color="auto"/>
        <w:bottom w:val="none" w:sz="0" w:space="0" w:color="auto"/>
        <w:right w:val="none" w:sz="0" w:space="0" w:color="auto"/>
      </w:divBdr>
      <w:divsChild>
        <w:div w:id="968323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B356A-DACE-48F7-BDFC-C2504651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Verita Legal</dc:creator>
  <cp:keywords/>
  <dc:description/>
  <cp:lastModifiedBy>Maria Matsi</cp:lastModifiedBy>
  <cp:revision>1</cp:revision>
  <cp:lastPrinted>2021-09-17T07:07:00Z</cp:lastPrinted>
  <dcterms:created xsi:type="dcterms:W3CDTF">2023-01-23T08:14:00Z</dcterms:created>
  <dcterms:modified xsi:type="dcterms:W3CDTF">2023-01-23T08:14:00Z</dcterms:modified>
</cp:coreProperties>
</file>