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0C79" w14:textId="29F6F1DC" w:rsidR="00761A7B" w:rsidRPr="00563D60" w:rsidRDefault="00761A7B">
      <w:pPr>
        <w:rPr>
          <w:rFonts w:ascii="Tahoma" w:eastAsia="Calibri" w:hAnsi="Tahoma" w:cs="Tahoma"/>
          <w:b/>
          <w:sz w:val="20"/>
          <w:szCs w:val="20"/>
          <w:u w:val="single"/>
        </w:rPr>
      </w:pPr>
    </w:p>
    <w:tbl>
      <w:tblPr>
        <w:tblStyle w:val="TableGrid"/>
        <w:tblW w:w="9634" w:type="dxa"/>
        <w:tblLook w:val="04A0" w:firstRow="1" w:lastRow="0" w:firstColumn="1" w:lastColumn="0" w:noHBand="0" w:noVBand="1"/>
      </w:tblPr>
      <w:tblGrid>
        <w:gridCol w:w="2263"/>
        <w:gridCol w:w="3969"/>
        <w:gridCol w:w="3402"/>
      </w:tblGrid>
      <w:tr w:rsidR="0092404D" w:rsidRPr="00931657" w14:paraId="28C0F564" w14:textId="77777777" w:rsidTr="00596C6D">
        <w:trPr>
          <w:trHeight w:val="557"/>
          <w:tblHeader/>
        </w:trPr>
        <w:tc>
          <w:tcPr>
            <w:tcW w:w="2263" w:type="dxa"/>
            <w:shd w:val="clear" w:color="auto" w:fill="D9D9D9" w:themeFill="background1" w:themeFillShade="D9"/>
          </w:tcPr>
          <w:p w14:paraId="02897988" w14:textId="555995DA" w:rsidR="0092404D" w:rsidRPr="00931657" w:rsidRDefault="0092404D" w:rsidP="0017667A">
            <w:pPr>
              <w:spacing w:before="120" w:after="120"/>
              <w:rPr>
                <w:rFonts w:ascii="Tahoma" w:hAnsi="Tahoma" w:cs="Tahoma"/>
                <w:b/>
                <w:bCs/>
                <w:sz w:val="20"/>
                <w:szCs w:val="20"/>
              </w:rPr>
            </w:pPr>
            <w:r w:rsidRPr="00931657">
              <w:rPr>
                <w:rFonts w:ascii="Tahoma" w:hAnsi="Tahoma" w:cs="Tahoma"/>
                <w:b/>
                <w:bCs/>
                <w:sz w:val="20"/>
                <w:szCs w:val="20"/>
              </w:rPr>
              <w:t xml:space="preserve">Άρθρο </w:t>
            </w:r>
          </w:p>
        </w:tc>
        <w:tc>
          <w:tcPr>
            <w:tcW w:w="3969" w:type="dxa"/>
            <w:shd w:val="clear" w:color="auto" w:fill="D9D9D9" w:themeFill="background1" w:themeFillShade="D9"/>
          </w:tcPr>
          <w:p w14:paraId="6F080B74" w14:textId="77777777" w:rsidR="0092404D" w:rsidRPr="00931657" w:rsidRDefault="0092404D" w:rsidP="0017667A">
            <w:pPr>
              <w:spacing w:before="120" w:after="120"/>
              <w:rPr>
                <w:rFonts w:ascii="Tahoma" w:hAnsi="Tahoma" w:cs="Tahoma"/>
                <w:b/>
                <w:bCs/>
                <w:sz w:val="20"/>
                <w:szCs w:val="20"/>
              </w:rPr>
            </w:pPr>
            <w:r w:rsidRPr="00931657">
              <w:rPr>
                <w:rFonts w:ascii="Tahoma" w:hAnsi="Tahoma" w:cs="Tahoma"/>
                <w:b/>
                <w:bCs/>
                <w:sz w:val="20"/>
                <w:szCs w:val="20"/>
              </w:rPr>
              <w:t>Περιεχόμενο της Διακριτικής Ευχέρειας</w:t>
            </w:r>
          </w:p>
        </w:tc>
        <w:tc>
          <w:tcPr>
            <w:tcW w:w="3402" w:type="dxa"/>
            <w:shd w:val="clear" w:color="auto" w:fill="D9D9D9" w:themeFill="background1" w:themeFillShade="D9"/>
          </w:tcPr>
          <w:p w14:paraId="22AC5210" w14:textId="158974FC" w:rsidR="0092404D" w:rsidRPr="00931657" w:rsidRDefault="0092404D" w:rsidP="0017667A">
            <w:pPr>
              <w:spacing w:before="120" w:after="120"/>
              <w:rPr>
                <w:rFonts w:ascii="Tahoma" w:hAnsi="Tahoma" w:cs="Tahoma"/>
                <w:b/>
                <w:bCs/>
                <w:sz w:val="20"/>
                <w:szCs w:val="20"/>
              </w:rPr>
            </w:pPr>
            <w:r>
              <w:rPr>
                <w:rFonts w:ascii="Tahoma" w:hAnsi="Tahoma" w:cs="Tahoma"/>
                <w:b/>
                <w:bCs/>
                <w:noProof/>
                <w:sz w:val="20"/>
                <w:szCs w:val="20"/>
              </w:rPr>
              <mc:AlternateContent>
                <mc:Choice Requires="wps">
                  <w:drawing>
                    <wp:anchor distT="0" distB="0" distL="114300" distR="114300" simplePos="0" relativeHeight="251659264" behindDoc="0" locked="0" layoutInCell="1" allowOverlap="1" wp14:anchorId="4EA8E357" wp14:editId="3F516286">
                      <wp:simplePos x="0" y="0"/>
                      <wp:positionH relativeFrom="column">
                        <wp:posOffset>1021945</wp:posOffset>
                      </wp:positionH>
                      <wp:positionV relativeFrom="paragraph">
                        <wp:posOffset>-580282</wp:posOffset>
                      </wp:positionV>
                      <wp:extent cx="1274053" cy="398834"/>
                      <wp:effectExtent l="0" t="0" r="2540" b="1270"/>
                      <wp:wrapNone/>
                      <wp:docPr id="2" name="Text Box 2"/>
                      <wp:cNvGraphicFramePr/>
                      <a:graphic xmlns:a="http://schemas.openxmlformats.org/drawingml/2006/main">
                        <a:graphicData uri="http://schemas.microsoft.com/office/word/2010/wordprocessingShape">
                          <wps:wsp>
                            <wps:cNvSpPr txBox="1"/>
                            <wps:spPr>
                              <a:xfrm>
                                <a:off x="0" y="0"/>
                                <a:ext cx="1274053" cy="398834"/>
                              </a:xfrm>
                              <a:prstGeom prst="rect">
                                <a:avLst/>
                              </a:prstGeom>
                              <a:solidFill>
                                <a:schemeClr val="lt1"/>
                              </a:solidFill>
                              <a:ln w="6350">
                                <a:noFill/>
                              </a:ln>
                            </wps:spPr>
                            <wps:txbx>
                              <w:txbxContent>
                                <w:p w14:paraId="18E48A8C" w14:textId="14F1037E" w:rsidR="0092404D" w:rsidRPr="0092404D" w:rsidRDefault="0092404D">
                                  <w:pPr>
                                    <w:rPr>
                                      <w:rFonts w:ascii="Tahoma" w:hAnsi="Tahoma" w:cs="Tahoma"/>
                                      <w:b/>
                                      <w:bCs/>
                                      <w:color w:val="000000" w:themeColor="text1"/>
                                      <w:sz w:val="20"/>
                                      <w:szCs w:val="20"/>
                                      <w:lang w:val="el-GR"/>
                                    </w:rPr>
                                  </w:pPr>
                                  <w:r w:rsidRPr="0092404D">
                                    <w:rPr>
                                      <w:rFonts w:ascii="Tahoma" w:hAnsi="Tahoma" w:cs="Tahoma"/>
                                      <w:b/>
                                      <w:bCs/>
                                      <w:color w:val="000000" w:themeColor="text1"/>
                                      <w:sz w:val="20"/>
                                      <w:szCs w:val="20"/>
                                      <w:lang w:val="el-GR"/>
                                    </w:rPr>
                                    <w:t>ΣΥΝΗΜΜΕΝΟ 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8E357" id="_x0000_t202" coordsize="21600,21600" o:spt="202" path="m,l,21600r21600,l21600,xe">
                      <v:stroke joinstyle="miter"/>
                      <v:path gradientshapeok="t" o:connecttype="rect"/>
                    </v:shapetype>
                    <v:shape id="Text Box 2" o:spid="_x0000_s1026" type="#_x0000_t202" style="position:absolute;margin-left:80.45pt;margin-top:-45.7pt;width:100.3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" fillcolor="white [3201]" stroked="f" strokeweight=".5pt">
                      <v:textbox>
                        <w:txbxContent>
                          <w:p w14:paraId="18E48A8C" w14:textId="14F1037E" w:rsidR="0092404D" w:rsidRPr="0092404D" w:rsidRDefault="0092404D">
                            <w:pPr>
                              <w:rPr>
                                <w:rFonts w:ascii="Tahoma" w:hAnsi="Tahoma" w:cs="Tahoma"/>
                                <w:b/>
                                <w:bCs/>
                                <w:color w:val="000000" w:themeColor="text1"/>
                                <w:sz w:val="20"/>
                                <w:szCs w:val="20"/>
                                <w:lang w:val="el-GR"/>
                              </w:rPr>
                            </w:pPr>
                            <w:r w:rsidRPr="0092404D">
                              <w:rPr>
                                <w:rFonts w:ascii="Tahoma" w:hAnsi="Tahoma" w:cs="Tahoma"/>
                                <w:b/>
                                <w:bCs/>
                                <w:color w:val="000000" w:themeColor="text1"/>
                                <w:sz w:val="20"/>
                                <w:szCs w:val="20"/>
                                <w:lang w:val="el-GR"/>
                              </w:rPr>
                              <w:t>ΣΥΝΗΜΜΕΝΟ Ι</w:t>
                            </w:r>
                          </w:p>
                        </w:txbxContent>
                      </v:textbox>
                    </v:shape>
                  </w:pict>
                </mc:Fallback>
              </mc:AlternateContent>
            </w:r>
            <w:r w:rsidRPr="00931657">
              <w:rPr>
                <w:rFonts w:ascii="Tahoma" w:hAnsi="Tahoma" w:cs="Tahoma"/>
                <w:b/>
                <w:bCs/>
                <w:sz w:val="20"/>
                <w:szCs w:val="20"/>
              </w:rPr>
              <w:t xml:space="preserve">Πρόθεση χειρισμού </w:t>
            </w:r>
          </w:p>
          <w:p w14:paraId="47D4F007" w14:textId="3C9DA52E" w:rsidR="0092404D" w:rsidRPr="00931657" w:rsidRDefault="0092404D" w:rsidP="0017667A">
            <w:pPr>
              <w:spacing w:before="120" w:after="120"/>
              <w:rPr>
                <w:rFonts w:ascii="Tahoma" w:hAnsi="Tahoma" w:cs="Tahoma"/>
                <w:b/>
                <w:bCs/>
                <w:sz w:val="20"/>
                <w:szCs w:val="20"/>
              </w:rPr>
            </w:pPr>
          </w:p>
        </w:tc>
      </w:tr>
      <w:tr w:rsidR="0092404D" w:rsidRPr="00563D60" w14:paraId="43070369" w14:textId="77777777" w:rsidTr="00596C6D">
        <w:trPr>
          <w:trHeight w:val="724"/>
        </w:trPr>
        <w:tc>
          <w:tcPr>
            <w:tcW w:w="2263" w:type="dxa"/>
          </w:tcPr>
          <w:p w14:paraId="631EBFBE" w14:textId="77777777" w:rsidR="0092404D" w:rsidRPr="00931657" w:rsidRDefault="0092404D" w:rsidP="0017667A">
            <w:pPr>
              <w:spacing w:before="120" w:after="120"/>
              <w:rPr>
                <w:rFonts w:ascii="Tahoma" w:hAnsi="Tahoma" w:cs="Tahoma"/>
                <w:sz w:val="20"/>
                <w:szCs w:val="20"/>
              </w:rPr>
            </w:pPr>
            <w:r w:rsidRPr="00931657">
              <w:rPr>
                <w:rFonts w:ascii="Tahoma" w:hAnsi="Tahoma" w:cs="Tahoma"/>
                <w:sz w:val="20"/>
                <w:szCs w:val="20"/>
              </w:rPr>
              <w:t xml:space="preserve">Προοιμιακή σκέψη 18 </w:t>
            </w:r>
          </w:p>
          <w:p w14:paraId="2DAEC85F" w14:textId="77777777" w:rsidR="0092404D" w:rsidRPr="00931657" w:rsidRDefault="0092404D" w:rsidP="0017667A">
            <w:pPr>
              <w:spacing w:before="120" w:after="120"/>
              <w:rPr>
                <w:rFonts w:ascii="Tahoma" w:hAnsi="Tahoma" w:cs="Tahoma"/>
                <w:sz w:val="20"/>
                <w:szCs w:val="20"/>
              </w:rPr>
            </w:pPr>
            <w:r w:rsidRPr="00931657">
              <w:rPr>
                <w:rFonts w:ascii="Tahoma" w:hAnsi="Tahoma" w:cs="Tahoma"/>
                <w:sz w:val="20"/>
                <w:szCs w:val="20"/>
              </w:rPr>
              <w:tab/>
            </w:r>
          </w:p>
        </w:tc>
        <w:tc>
          <w:tcPr>
            <w:tcW w:w="3969" w:type="dxa"/>
          </w:tcPr>
          <w:p w14:paraId="2549B104" w14:textId="2D2FD33A" w:rsidR="0092404D" w:rsidRPr="00931657" w:rsidRDefault="0092404D" w:rsidP="0017667A">
            <w:pPr>
              <w:spacing w:before="120" w:after="120"/>
              <w:jc w:val="both"/>
              <w:rPr>
                <w:rFonts w:ascii="Tahoma" w:hAnsi="Tahoma" w:cs="Tahoma"/>
                <w:sz w:val="20"/>
                <w:szCs w:val="20"/>
              </w:rPr>
            </w:pPr>
            <w:r w:rsidRPr="00931657">
              <w:rPr>
                <w:rFonts w:ascii="Tahoma" w:hAnsi="Tahoma" w:cs="Tahoma"/>
                <w:sz w:val="20"/>
                <w:szCs w:val="20"/>
              </w:rPr>
              <w:t xml:space="preserve">Η προοιμιακή σκέψη 18, παρέχει διακριτική ευχέρεια στα Κράτη Μέλη ρύθμισης της μεταβίβασης εξυπηρετούμενων συμβάσεων πίστωσης, μεταξύ άλλων επιβάλλοντας απαιτήσεις ισοδύναμες με τις απαιτήσεις της παρούσας </w:t>
            </w:r>
            <w:r w:rsidRPr="00931657">
              <w:rPr>
                <w:rFonts w:ascii="Tahoma" w:hAnsi="Tahoma" w:cs="Tahoma"/>
                <w:sz w:val="20"/>
                <w:szCs w:val="20"/>
                <w:lang w:val="en-GB"/>
              </w:rPr>
              <w:t>O</w:t>
            </w:r>
            <w:r w:rsidRPr="00931657">
              <w:rPr>
                <w:rFonts w:ascii="Tahoma" w:hAnsi="Tahoma" w:cs="Tahoma"/>
                <w:sz w:val="20"/>
                <w:szCs w:val="20"/>
              </w:rPr>
              <w:t>δηγίας.</w:t>
            </w:r>
          </w:p>
        </w:tc>
        <w:tc>
          <w:tcPr>
            <w:tcW w:w="3402" w:type="dxa"/>
          </w:tcPr>
          <w:p w14:paraId="1718AB64" w14:textId="77777777" w:rsidR="0092404D" w:rsidRPr="00931657" w:rsidRDefault="0092404D" w:rsidP="0017667A">
            <w:pPr>
              <w:spacing w:before="120" w:after="120"/>
              <w:jc w:val="both"/>
              <w:rPr>
                <w:rFonts w:ascii="Tahoma" w:hAnsi="Tahoma" w:cs="Tahoma"/>
                <w:sz w:val="20"/>
                <w:szCs w:val="20"/>
              </w:rPr>
            </w:pPr>
            <w:r w:rsidRPr="00931657">
              <w:rPr>
                <w:rFonts w:ascii="Tahoma" w:hAnsi="Tahoma" w:cs="Tahoma"/>
                <w:sz w:val="20"/>
                <w:szCs w:val="20"/>
              </w:rPr>
              <w:t>Πρόθεση του ΥΠΟΙΚ είναι να εξασκηθεί ώστε να μην απαιτείται ο διαχωρισμός των χαρτοφυλακίων σε εξυπηρετούμενες και μη χορηγήσεις καθώς επίσης για σκοπούς ομοιόμορφου ελέγχου/εποπτείας και προστασίας του καταναλωτή.</w:t>
            </w:r>
          </w:p>
          <w:p w14:paraId="2873D300" w14:textId="77D24D77" w:rsidR="0092404D" w:rsidRPr="00931657" w:rsidRDefault="0092404D" w:rsidP="0017667A">
            <w:pPr>
              <w:spacing w:before="120" w:after="120"/>
              <w:jc w:val="both"/>
              <w:rPr>
                <w:rFonts w:ascii="Tahoma" w:hAnsi="Tahoma" w:cs="Tahoma"/>
                <w:i/>
                <w:sz w:val="20"/>
                <w:szCs w:val="20"/>
              </w:rPr>
            </w:pPr>
          </w:p>
        </w:tc>
      </w:tr>
      <w:tr w:rsidR="0092404D" w:rsidRPr="00563D60" w14:paraId="11BBF051" w14:textId="77777777" w:rsidTr="00596C6D">
        <w:trPr>
          <w:trHeight w:val="1475"/>
        </w:trPr>
        <w:tc>
          <w:tcPr>
            <w:tcW w:w="2263" w:type="dxa"/>
          </w:tcPr>
          <w:p w14:paraId="7F1ABE5D" w14:textId="77777777" w:rsidR="0092404D" w:rsidRPr="00931657" w:rsidRDefault="0092404D" w:rsidP="0017667A">
            <w:pPr>
              <w:spacing w:before="120" w:after="120"/>
              <w:rPr>
                <w:rFonts w:ascii="Tahoma" w:hAnsi="Tahoma" w:cs="Tahoma"/>
                <w:sz w:val="20"/>
                <w:szCs w:val="20"/>
              </w:rPr>
            </w:pPr>
            <w:r w:rsidRPr="00931657">
              <w:rPr>
                <w:rFonts w:ascii="Tahoma" w:hAnsi="Tahoma" w:cs="Tahoma"/>
                <w:sz w:val="20"/>
                <w:szCs w:val="20"/>
              </w:rPr>
              <w:t>Άρθρο 2(6) (προοιμιακή σκέψη 23)</w:t>
            </w:r>
          </w:p>
        </w:tc>
        <w:tc>
          <w:tcPr>
            <w:tcW w:w="3969" w:type="dxa"/>
          </w:tcPr>
          <w:p w14:paraId="4005F337" w14:textId="77777777" w:rsidR="0092404D" w:rsidRPr="00931657" w:rsidRDefault="0092404D" w:rsidP="0017667A">
            <w:pPr>
              <w:spacing w:before="120" w:after="120"/>
              <w:jc w:val="both"/>
              <w:rPr>
                <w:rFonts w:ascii="Tahoma" w:hAnsi="Tahoma" w:cs="Tahoma"/>
                <w:sz w:val="20"/>
                <w:szCs w:val="20"/>
              </w:rPr>
            </w:pPr>
            <w:r w:rsidRPr="00931657">
              <w:rPr>
                <w:rFonts w:ascii="Tahoma" w:hAnsi="Tahoma" w:cs="Tahoma"/>
                <w:sz w:val="20"/>
                <w:szCs w:val="20"/>
              </w:rPr>
              <w:t>Το Άρθρο 2(6) της Οδηγίας παρέχει διακριτική ευχέρεια στα Κράτη Μέλη, εξαίρεσης από την εφαρμογή της αναφορικά με την διαχείριση δικαιωμάτων πιστωτή σε σχέση με συμβάσεις πίστωσης, όπου η εν λόγω διαχείριση ασκείται  από συμβολαιογράφους, δικαστικούς επιμελητές ή δικηγόρους.</w:t>
            </w:r>
          </w:p>
        </w:tc>
        <w:tc>
          <w:tcPr>
            <w:tcW w:w="3402" w:type="dxa"/>
          </w:tcPr>
          <w:p w14:paraId="08F67F6E" w14:textId="64F075C7" w:rsidR="0092404D" w:rsidRPr="00931657" w:rsidRDefault="0092404D" w:rsidP="0017667A">
            <w:pPr>
              <w:spacing w:before="120" w:after="120"/>
              <w:jc w:val="both"/>
              <w:rPr>
                <w:rFonts w:ascii="Tahoma" w:hAnsi="Tahoma" w:cs="Tahoma"/>
                <w:sz w:val="20"/>
                <w:szCs w:val="20"/>
              </w:rPr>
            </w:pPr>
            <w:r w:rsidRPr="00162C11">
              <w:rPr>
                <w:rFonts w:ascii="Tahoma" w:hAnsi="Tahoma" w:cs="Tahoma"/>
                <w:sz w:val="20"/>
                <w:szCs w:val="20"/>
              </w:rPr>
              <w:t>Πρόθεση του ΥΠΟΙΚ είναι να εξασκηθεί</w:t>
            </w:r>
            <w:r w:rsidR="00280C10" w:rsidRPr="00162C11">
              <w:rPr>
                <w:rFonts w:ascii="Tahoma" w:hAnsi="Tahoma" w:cs="Tahoma"/>
                <w:sz w:val="20"/>
                <w:szCs w:val="20"/>
              </w:rPr>
              <w:t xml:space="preserve"> </w:t>
            </w:r>
            <w:r w:rsidRPr="00162C11">
              <w:rPr>
                <w:rFonts w:ascii="Tahoma" w:hAnsi="Tahoma" w:cs="Tahoma"/>
                <w:sz w:val="20"/>
                <w:szCs w:val="20"/>
              </w:rPr>
              <w:t>καθώς φαίνεται να είναι σύνηθες φαινόμενο οι διαχειριστές να χρησιμοποιούν τις υπηρεσίες, κυρίως δικηγόρων, λόγω της τεχνογνωσίας τους. Οι εν λόγω υπηρεσίες παρέχονται συνήθως στο πλαίσιο εξωτερικής ανάθεσης και αφορούν μικρό μέρος των χαρτοφυλακίων που διαχειρίζονται οι διαχειριστές και επιμέρους υπηρεσίες διαχείρισης.</w:t>
            </w:r>
            <w:r w:rsidRPr="00280C10">
              <w:rPr>
                <w:rFonts w:ascii="Tahoma" w:hAnsi="Tahoma" w:cs="Tahoma"/>
                <w:sz w:val="20"/>
                <w:szCs w:val="20"/>
              </w:rPr>
              <w:t xml:space="preserve"> </w:t>
            </w:r>
          </w:p>
        </w:tc>
      </w:tr>
      <w:tr w:rsidR="0092404D" w:rsidRPr="00563D60" w14:paraId="5A3FE6C0" w14:textId="77777777" w:rsidTr="00596C6D">
        <w:trPr>
          <w:trHeight w:val="1610"/>
        </w:trPr>
        <w:tc>
          <w:tcPr>
            <w:tcW w:w="2263" w:type="dxa"/>
          </w:tcPr>
          <w:p w14:paraId="71FF13F0" w14:textId="77777777" w:rsidR="0092404D" w:rsidRPr="00931657" w:rsidRDefault="0092404D" w:rsidP="0017667A">
            <w:pPr>
              <w:spacing w:before="120" w:after="120"/>
              <w:rPr>
                <w:rFonts w:ascii="Tahoma" w:hAnsi="Tahoma" w:cs="Tahoma"/>
                <w:sz w:val="20"/>
                <w:szCs w:val="20"/>
              </w:rPr>
            </w:pPr>
            <w:r w:rsidRPr="00931657">
              <w:rPr>
                <w:rFonts w:ascii="Tahoma" w:hAnsi="Tahoma" w:cs="Tahoma"/>
                <w:sz w:val="20"/>
                <w:szCs w:val="20"/>
              </w:rPr>
              <w:t>Άρθρο 6(1) (προοιμιακή σκέψη 29)</w:t>
            </w:r>
          </w:p>
        </w:tc>
        <w:tc>
          <w:tcPr>
            <w:tcW w:w="3969" w:type="dxa"/>
          </w:tcPr>
          <w:p w14:paraId="61ACC716" w14:textId="77777777" w:rsidR="0092404D" w:rsidRPr="00931657" w:rsidRDefault="0092404D" w:rsidP="0017667A">
            <w:pPr>
              <w:spacing w:before="120" w:after="120"/>
              <w:rPr>
                <w:rFonts w:ascii="Tahoma" w:hAnsi="Tahoma" w:cs="Tahoma"/>
                <w:sz w:val="20"/>
                <w:szCs w:val="20"/>
              </w:rPr>
            </w:pPr>
            <w:r w:rsidRPr="00931657">
              <w:rPr>
                <w:rFonts w:ascii="Tahoma" w:hAnsi="Tahoma" w:cs="Tahoma"/>
                <w:sz w:val="20"/>
                <w:szCs w:val="20"/>
              </w:rPr>
              <w:t>Το Άρθρο 6(1) της Οδηγίας παρέχει διακριτική ευχέρεια στα Κράτη Μέλη ώστε να αποφασίσουν κατά πόσο οι διαχειριστές πιστώσεων θα επιτρέπεται να λαμβάνουν και κατέχουν ή όχι κεφάλαια από τους δανειολήπτες (με σκοπό την μεταβίβαση τους στην συνέχεια στους αγοραστές πιστώσεων).</w:t>
            </w:r>
          </w:p>
        </w:tc>
        <w:tc>
          <w:tcPr>
            <w:tcW w:w="3402" w:type="dxa"/>
          </w:tcPr>
          <w:p w14:paraId="3C5E7C39" w14:textId="74162C3E" w:rsidR="0092404D" w:rsidRPr="00931657" w:rsidRDefault="0092404D" w:rsidP="007D1A42">
            <w:pPr>
              <w:spacing w:before="120" w:after="120"/>
              <w:rPr>
                <w:rFonts w:ascii="Tahoma" w:hAnsi="Tahoma" w:cs="Tahoma"/>
                <w:sz w:val="20"/>
                <w:szCs w:val="20"/>
              </w:rPr>
            </w:pPr>
            <w:r w:rsidRPr="00931657">
              <w:rPr>
                <w:rFonts w:ascii="Tahoma" w:hAnsi="Tahoma" w:cs="Tahoma"/>
                <w:sz w:val="20"/>
                <w:szCs w:val="20"/>
              </w:rPr>
              <w:t>Πρόθεση του ΥΠΟΙΚ είναι να μην εξασκηθεί για  σκοπούς ελαχιστοποίησης του κινδύνου, παρά τις ασφαλιστικές δικλείδες που παρέχει η Οδηγία.</w:t>
            </w:r>
          </w:p>
          <w:p w14:paraId="0FD05965" w14:textId="77777777" w:rsidR="0092404D" w:rsidRPr="00931657" w:rsidRDefault="0092404D" w:rsidP="0017667A">
            <w:pPr>
              <w:jc w:val="both"/>
              <w:rPr>
                <w:rFonts w:ascii="Tahoma" w:hAnsi="Tahoma" w:cs="Tahoma"/>
                <w:sz w:val="20"/>
                <w:szCs w:val="20"/>
              </w:rPr>
            </w:pPr>
          </w:p>
          <w:p w14:paraId="4A1BE96F" w14:textId="77777777" w:rsidR="0092404D" w:rsidRPr="00931657" w:rsidRDefault="0092404D" w:rsidP="004B6077">
            <w:pPr>
              <w:jc w:val="both"/>
              <w:rPr>
                <w:rFonts w:ascii="Tahoma" w:hAnsi="Tahoma" w:cs="Tahoma"/>
                <w:sz w:val="20"/>
                <w:szCs w:val="20"/>
              </w:rPr>
            </w:pPr>
          </w:p>
        </w:tc>
      </w:tr>
      <w:tr w:rsidR="0092404D" w:rsidRPr="00563D60" w14:paraId="33F6777D" w14:textId="77777777" w:rsidTr="00596C6D">
        <w:trPr>
          <w:trHeight w:val="1264"/>
        </w:trPr>
        <w:tc>
          <w:tcPr>
            <w:tcW w:w="2263" w:type="dxa"/>
          </w:tcPr>
          <w:p w14:paraId="608435AE" w14:textId="77777777" w:rsidR="0092404D" w:rsidRPr="00931657" w:rsidRDefault="0092404D" w:rsidP="0017667A">
            <w:pPr>
              <w:spacing w:before="120" w:after="120"/>
              <w:rPr>
                <w:rFonts w:ascii="Tahoma" w:hAnsi="Tahoma" w:cs="Tahoma"/>
                <w:sz w:val="20"/>
                <w:szCs w:val="20"/>
              </w:rPr>
            </w:pPr>
            <w:r w:rsidRPr="00931657">
              <w:rPr>
                <w:rFonts w:ascii="Tahoma" w:hAnsi="Tahoma" w:cs="Tahoma"/>
                <w:sz w:val="20"/>
                <w:szCs w:val="20"/>
              </w:rPr>
              <w:t>Άρθρο 17(1)(β)(i) (προοιμιακή σκέψη 42)</w:t>
            </w:r>
          </w:p>
        </w:tc>
        <w:tc>
          <w:tcPr>
            <w:tcW w:w="3969" w:type="dxa"/>
            <w:vAlign w:val="center"/>
          </w:tcPr>
          <w:p w14:paraId="4B0C3D8F" w14:textId="29521FB7" w:rsidR="0092404D" w:rsidRPr="00931657" w:rsidRDefault="0092404D" w:rsidP="0017667A">
            <w:pPr>
              <w:spacing w:before="120" w:after="120"/>
              <w:jc w:val="both"/>
              <w:rPr>
                <w:rFonts w:ascii="Tahoma" w:hAnsi="Tahoma" w:cs="Tahoma"/>
                <w:sz w:val="20"/>
                <w:szCs w:val="20"/>
              </w:rPr>
            </w:pPr>
            <w:r w:rsidRPr="00931657">
              <w:rPr>
                <w:rFonts w:ascii="Tahoma" w:hAnsi="Tahoma" w:cs="Tahoma"/>
                <w:sz w:val="20"/>
                <w:szCs w:val="20"/>
              </w:rPr>
              <w:t xml:space="preserve">Το Άρθρο 17(1)(β) παρέχει διακριτική ευχέρεια στα κράτη μέλη υποδοχής για να επεκτείνουν την απαίτηση που προβλέπεται στο πρώτο εδάφιο και σε  συμβάσεις πίστωσης άλλες από καταναλωτικές. Η απαίτηση στο πρώτο εδάφιο αναφέρεται στην υποχρέωση αγοραστή πίστωσης που έχει την κατοικία του στην Ένωση  να ορίζει διαχειριστή πιστώσεων ή άλλη οντότητα ως καθορίζεται στο εν λόγω εδάφιο για την άσκηση δραστηριοτήτων διαχείρισης πιστώσεων σε σχέση με καταναλωτικές συμβάσεις πίστωσης.  </w:t>
            </w:r>
          </w:p>
        </w:tc>
        <w:tc>
          <w:tcPr>
            <w:tcW w:w="3402" w:type="dxa"/>
          </w:tcPr>
          <w:p w14:paraId="0806ED74" w14:textId="77777777" w:rsidR="0092404D" w:rsidRPr="00931657" w:rsidRDefault="0092404D" w:rsidP="00A347DA">
            <w:pPr>
              <w:spacing w:before="120" w:after="120"/>
              <w:rPr>
                <w:rFonts w:ascii="Tahoma" w:hAnsi="Tahoma" w:cs="Tahoma"/>
                <w:sz w:val="20"/>
                <w:szCs w:val="20"/>
              </w:rPr>
            </w:pPr>
            <w:r w:rsidRPr="00931657">
              <w:rPr>
                <w:rFonts w:ascii="Tahoma" w:hAnsi="Tahoma" w:cs="Tahoma"/>
                <w:sz w:val="20"/>
                <w:szCs w:val="20"/>
              </w:rPr>
              <w:t>Έχει τεθεί σχετική ερώτηση στην Ευρωπαϊκή Επιτροπή ως προς την ερμηνεία και θα επανέλθουμε με τη λήψη απάντησης σχετικά με την πρόθεση χειρισμού.</w:t>
            </w:r>
          </w:p>
          <w:p w14:paraId="0CD023D5" w14:textId="77777777" w:rsidR="0092404D" w:rsidRPr="00931657" w:rsidRDefault="0092404D" w:rsidP="0017667A">
            <w:pPr>
              <w:jc w:val="both"/>
              <w:rPr>
                <w:rFonts w:ascii="Tahoma" w:hAnsi="Tahoma" w:cs="Tahoma"/>
                <w:sz w:val="20"/>
                <w:szCs w:val="20"/>
              </w:rPr>
            </w:pPr>
          </w:p>
          <w:p w14:paraId="27FB47B2" w14:textId="5FB10795" w:rsidR="0092404D" w:rsidRPr="00931657" w:rsidRDefault="0092404D" w:rsidP="0017667A">
            <w:pPr>
              <w:jc w:val="both"/>
              <w:rPr>
                <w:rFonts w:ascii="Tahoma" w:hAnsi="Tahoma" w:cs="Tahoma"/>
                <w:sz w:val="20"/>
                <w:szCs w:val="20"/>
              </w:rPr>
            </w:pPr>
          </w:p>
        </w:tc>
      </w:tr>
      <w:tr w:rsidR="0092404D" w:rsidRPr="00563D60" w14:paraId="6B57AC7F" w14:textId="77777777" w:rsidTr="00596C6D">
        <w:trPr>
          <w:trHeight w:val="1277"/>
        </w:trPr>
        <w:tc>
          <w:tcPr>
            <w:tcW w:w="2263" w:type="dxa"/>
          </w:tcPr>
          <w:p w14:paraId="1152CA8F" w14:textId="77777777" w:rsidR="0092404D" w:rsidRPr="00931657" w:rsidRDefault="0092404D" w:rsidP="0017667A">
            <w:pPr>
              <w:spacing w:before="120" w:after="120"/>
              <w:rPr>
                <w:rFonts w:ascii="Tahoma" w:hAnsi="Tahoma" w:cs="Tahoma"/>
                <w:sz w:val="20"/>
                <w:szCs w:val="20"/>
              </w:rPr>
            </w:pPr>
            <w:r w:rsidRPr="00931657">
              <w:rPr>
                <w:rFonts w:ascii="Tahoma" w:hAnsi="Tahoma" w:cs="Tahoma"/>
                <w:sz w:val="20"/>
                <w:szCs w:val="20"/>
              </w:rPr>
              <w:lastRenderedPageBreak/>
              <w:t xml:space="preserve">Άρθρο 17(4) </w:t>
            </w:r>
          </w:p>
        </w:tc>
        <w:tc>
          <w:tcPr>
            <w:tcW w:w="3969" w:type="dxa"/>
          </w:tcPr>
          <w:p w14:paraId="303182C0" w14:textId="77777777" w:rsidR="0092404D" w:rsidRPr="00931657" w:rsidRDefault="0092404D" w:rsidP="0017667A">
            <w:pPr>
              <w:spacing w:before="120" w:after="120"/>
              <w:jc w:val="both"/>
              <w:rPr>
                <w:rFonts w:ascii="Tahoma" w:hAnsi="Tahoma" w:cs="Tahoma"/>
                <w:sz w:val="20"/>
                <w:szCs w:val="20"/>
              </w:rPr>
            </w:pPr>
            <w:r w:rsidRPr="00931657">
              <w:rPr>
                <w:rFonts w:ascii="Tahoma" w:hAnsi="Tahoma" w:cs="Tahoma"/>
                <w:sz w:val="20"/>
                <w:szCs w:val="20"/>
              </w:rPr>
              <w:t xml:space="preserve">Το Άρθρο 17(4) της Οδηγίας παρέχει διακριτική ευχέρεια όπως τα Κράτη Μέλη επιτρέπουν όπως οι αγοραστές πιστώσεων προβαίνουν σε </w:t>
            </w:r>
            <w:r w:rsidRPr="00572DF2">
              <w:rPr>
                <w:rFonts w:ascii="Tahoma" w:hAnsi="Tahoma" w:cs="Tahoma"/>
                <w:bCs/>
                <w:sz w:val="20"/>
                <w:szCs w:val="20"/>
              </w:rPr>
              <w:t>πρόσληψη</w:t>
            </w:r>
            <w:r w:rsidRPr="00931657">
              <w:rPr>
                <w:rFonts w:ascii="Tahoma" w:hAnsi="Tahoma" w:cs="Tahoma"/>
                <w:sz w:val="20"/>
                <w:szCs w:val="20"/>
              </w:rPr>
              <w:t xml:space="preserve"> φυσικών προσώπων για σκοπούς της διαχείρισης των συμβάσεων πίστωσης.</w:t>
            </w:r>
          </w:p>
        </w:tc>
        <w:tc>
          <w:tcPr>
            <w:tcW w:w="3402" w:type="dxa"/>
          </w:tcPr>
          <w:p w14:paraId="0519E35E" w14:textId="613D1436" w:rsidR="0092404D" w:rsidRPr="00931657" w:rsidRDefault="0092404D" w:rsidP="007203D5">
            <w:pPr>
              <w:spacing w:before="120" w:after="120"/>
              <w:rPr>
                <w:rFonts w:ascii="Tahoma" w:hAnsi="Tahoma" w:cs="Tahoma"/>
                <w:sz w:val="20"/>
                <w:szCs w:val="20"/>
              </w:rPr>
            </w:pPr>
            <w:r w:rsidRPr="00931657">
              <w:rPr>
                <w:rFonts w:ascii="Tahoma" w:hAnsi="Tahoma" w:cs="Tahoma"/>
                <w:sz w:val="20"/>
                <w:szCs w:val="20"/>
              </w:rPr>
              <w:t>Πρόθεση του ΥΠΟΙΚ είναι να μην εξασκηθεί</w:t>
            </w:r>
            <w:r>
              <w:rPr>
                <w:rFonts w:ascii="Tahoma" w:hAnsi="Tahoma" w:cs="Tahoma"/>
                <w:sz w:val="20"/>
                <w:szCs w:val="20"/>
              </w:rPr>
              <w:t>,</w:t>
            </w:r>
            <w:r w:rsidRPr="00931657">
              <w:rPr>
                <w:rFonts w:ascii="Tahoma" w:hAnsi="Tahoma" w:cs="Tahoma"/>
                <w:sz w:val="20"/>
                <w:szCs w:val="20"/>
              </w:rPr>
              <w:t xml:space="preserve"> </w:t>
            </w:r>
            <w:r w:rsidRPr="003650ED">
              <w:rPr>
                <w:rFonts w:ascii="Tahoma" w:hAnsi="Tahoma" w:cs="Tahoma"/>
                <w:sz w:val="20"/>
                <w:szCs w:val="20"/>
              </w:rPr>
              <w:t xml:space="preserve">ώστε η διαχείριση των συμβάσεων πίστωσης να γίνεται μόνο από αδειοδοτημένες για τον σκοπό αυτό νομικές οντότητες </w:t>
            </w:r>
            <w:r w:rsidRPr="00931657">
              <w:rPr>
                <w:rFonts w:ascii="Tahoma" w:hAnsi="Tahoma" w:cs="Tahoma"/>
                <w:sz w:val="20"/>
                <w:szCs w:val="20"/>
              </w:rPr>
              <w:t>για σκοπούς προστασίας του καταναλωτή</w:t>
            </w:r>
            <w:r w:rsidR="000516CF" w:rsidRPr="000516CF">
              <w:rPr>
                <w:rFonts w:ascii="Tahoma" w:hAnsi="Tahoma" w:cs="Tahoma"/>
                <w:sz w:val="20"/>
                <w:szCs w:val="20"/>
              </w:rPr>
              <w:t>.</w:t>
            </w:r>
            <w:r w:rsidRPr="00931657">
              <w:rPr>
                <w:rFonts w:ascii="Tahoma" w:hAnsi="Tahoma" w:cs="Tahoma"/>
                <w:i/>
                <w:color w:val="365F91" w:themeColor="accent1" w:themeShade="BF"/>
                <w:sz w:val="20"/>
                <w:szCs w:val="20"/>
              </w:rPr>
              <w:t xml:space="preserve">  </w:t>
            </w:r>
          </w:p>
        </w:tc>
      </w:tr>
      <w:tr w:rsidR="0092404D" w:rsidRPr="00563D60" w14:paraId="3A45E708" w14:textId="77777777" w:rsidTr="00596C6D">
        <w:trPr>
          <w:trHeight w:val="1520"/>
        </w:trPr>
        <w:tc>
          <w:tcPr>
            <w:tcW w:w="2263" w:type="dxa"/>
          </w:tcPr>
          <w:p w14:paraId="1D81840B" w14:textId="77777777" w:rsidR="0092404D" w:rsidRPr="00931657" w:rsidRDefault="0092404D" w:rsidP="0017667A">
            <w:pPr>
              <w:spacing w:before="120" w:after="120"/>
              <w:rPr>
                <w:rFonts w:ascii="Tahoma" w:hAnsi="Tahoma" w:cs="Tahoma"/>
                <w:sz w:val="20"/>
                <w:szCs w:val="20"/>
              </w:rPr>
            </w:pPr>
            <w:r w:rsidRPr="00931657">
              <w:rPr>
                <w:rFonts w:ascii="Tahoma" w:hAnsi="Tahoma" w:cs="Tahoma"/>
                <w:sz w:val="20"/>
                <w:szCs w:val="20"/>
              </w:rPr>
              <w:t>Άρθρο 17(5) (2</w:t>
            </w:r>
            <w:r w:rsidRPr="00931657">
              <w:rPr>
                <w:rFonts w:ascii="Tahoma" w:hAnsi="Tahoma" w:cs="Tahoma"/>
                <w:sz w:val="20"/>
                <w:szCs w:val="20"/>
                <w:vertAlign w:val="superscript"/>
              </w:rPr>
              <w:t>ο</w:t>
            </w:r>
            <w:r w:rsidRPr="00931657">
              <w:rPr>
                <w:rFonts w:ascii="Tahoma" w:hAnsi="Tahoma" w:cs="Tahoma"/>
                <w:sz w:val="20"/>
                <w:szCs w:val="20"/>
              </w:rPr>
              <w:t xml:space="preserve"> εδάφιο)</w:t>
            </w:r>
          </w:p>
        </w:tc>
        <w:tc>
          <w:tcPr>
            <w:tcW w:w="3969" w:type="dxa"/>
          </w:tcPr>
          <w:p w14:paraId="0CB34FDF" w14:textId="77777777" w:rsidR="0092404D" w:rsidRPr="00931657" w:rsidRDefault="0092404D" w:rsidP="00042764">
            <w:pPr>
              <w:spacing w:before="120" w:after="120"/>
              <w:jc w:val="both"/>
              <w:rPr>
                <w:rFonts w:ascii="Tahoma" w:hAnsi="Tahoma" w:cs="Tahoma"/>
                <w:sz w:val="20"/>
                <w:szCs w:val="20"/>
              </w:rPr>
            </w:pPr>
            <w:r w:rsidRPr="00931657">
              <w:rPr>
                <w:rFonts w:ascii="Tahoma" w:hAnsi="Tahoma" w:cs="Tahoma"/>
                <w:sz w:val="20"/>
                <w:szCs w:val="20"/>
              </w:rPr>
              <w:t xml:space="preserve">Το Άρθρο 17(5) παρέχει διακριτική ευχέρεια στα κράτη μέλη για να απαιτούν από το διαχειριστή πιστώσεων/άλλη οντότητα που έχει οριστεί, να συμμορφώνεται, για λογαριασμό του αγοραστή πιστώσεων, με τις υποχρεώσεις οι οποίες επιβάλλονται στον αγοραστή πιστώσεων σύμφωνα με την εθνική νομοθεσία μεταξύ άλλων σε σχέση με την παρ. 3 του άρθρου 17. </w:t>
            </w:r>
          </w:p>
        </w:tc>
        <w:tc>
          <w:tcPr>
            <w:tcW w:w="3402" w:type="dxa"/>
          </w:tcPr>
          <w:p w14:paraId="560BE87D" w14:textId="7F3D3587" w:rsidR="0092404D" w:rsidRPr="000516CF" w:rsidRDefault="0092404D" w:rsidP="007D1A42">
            <w:pPr>
              <w:spacing w:before="120" w:after="120"/>
              <w:rPr>
                <w:rFonts w:ascii="Tahoma" w:hAnsi="Tahoma" w:cs="Tahoma"/>
                <w:sz w:val="20"/>
                <w:szCs w:val="20"/>
              </w:rPr>
            </w:pPr>
            <w:r w:rsidRPr="00931657">
              <w:rPr>
                <w:rFonts w:ascii="Tahoma" w:hAnsi="Tahoma" w:cs="Tahoma"/>
                <w:sz w:val="20"/>
                <w:szCs w:val="20"/>
              </w:rPr>
              <w:t xml:space="preserve">Πρόθεση του ΥΠΟΙΚ είναι να εξασκηθεί (θεωρούμε ότι αναφέρεται μεταξύ άλλων και στην επικαιροποίηση των </w:t>
            </w:r>
            <w:r>
              <w:rPr>
                <w:rFonts w:ascii="Tahoma" w:hAnsi="Tahoma" w:cs="Tahoma"/>
                <w:sz w:val="20"/>
                <w:szCs w:val="20"/>
              </w:rPr>
              <w:t>πιστωτικών μητρώων</w:t>
            </w:r>
            <w:r w:rsidRPr="00931657">
              <w:rPr>
                <w:rFonts w:ascii="Tahoma" w:hAnsi="Tahoma" w:cs="Tahoma"/>
                <w:sz w:val="20"/>
                <w:szCs w:val="20"/>
              </w:rPr>
              <w:t>)</w:t>
            </w:r>
            <w:r w:rsidR="000516CF" w:rsidRPr="000516CF">
              <w:rPr>
                <w:rFonts w:ascii="Tahoma" w:hAnsi="Tahoma" w:cs="Tahoma"/>
                <w:sz w:val="20"/>
                <w:szCs w:val="20"/>
              </w:rPr>
              <w:t>.</w:t>
            </w:r>
          </w:p>
          <w:p w14:paraId="1A794D74" w14:textId="0F0880F6" w:rsidR="0092404D" w:rsidRPr="00931657" w:rsidRDefault="0092404D" w:rsidP="007D1A42">
            <w:pPr>
              <w:rPr>
                <w:rFonts w:ascii="Tahoma" w:hAnsi="Tahoma" w:cs="Tahoma"/>
                <w:sz w:val="20"/>
                <w:szCs w:val="20"/>
              </w:rPr>
            </w:pPr>
          </w:p>
        </w:tc>
      </w:tr>
      <w:tr w:rsidR="0092404D" w:rsidRPr="00563D60" w14:paraId="6743D5D1" w14:textId="77777777" w:rsidTr="00596C6D">
        <w:trPr>
          <w:trHeight w:val="1848"/>
        </w:trPr>
        <w:tc>
          <w:tcPr>
            <w:tcW w:w="2263" w:type="dxa"/>
          </w:tcPr>
          <w:p w14:paraId="26BCEE02" w14:textId="77777777" w:rsidR="0092404D" w:rsidRPr="00931657" w:rsidRDefault="0092404D" w:rsidP="0017667A">
            <w:pPr>
              <w:spacing w:before="120" w:after="120"/>
              <w:rPr>
                <w:rFonts w:ascii="Tahoma" w:hAnsi="Tahoma" w:cs="Tahoma"/>
                <w:sz w:val="20"/>
                <w:szCs w:val="20"/>
              </w:rPr>
            </w:pPr>
            <w:r w:rsidRPr="00931657">
              <w:rPr>
                <w:rFonts w:ascii="Tahoma" w:hAnsi="Tahoma" w:cs="Tahoma"/>
                <w:sz w:val="20"/>
                <w:szCs w:val="20"/>
              </w:rPr>
              <w:t xml:space="preserve">Άρθρο 20(2) </w:t>
            </w:r>
          </w:p>
        </w:tc>
        <w:tc>
          <w:tcPr>
            <w:tcW w:w="3969" w:type="dxa"/>
          </w:tcPr>
          <w:p w14:paraId="39037CDF" w14:textId="77777777" w:rsidR="0092404D" w:rsidRPr="00931657" w:rsidRDefault="0092404D" w:rsidP="0017667A">
            <w:pPr>
              <w:spacing w:before="120" w:after="120"/>
              <w:jc w:val="both"/>
              <w:rPr>
                <w:rFonts w:ascii="Tahoma" w:hAnsi="Tahoma" w:cs="Tahoma"/>
                <w:sz w:val="20"/>
                <w:szCs w:val="20"/>
              </w:rPr>
            </w:pPr>
            <w:r w:rsidRPr="00931657">
              <w:rPr>
                <w:rFonts w:ascii="Tahoma" w:hAnsi="Tahoma" w:cs="Tahoma"/>
                <w:sz w:val="20"/>
                <w:szCs w:val="20"/>
              </w:rPr>
              <w:t>Το Άρθρο 20(2) παρέχει τη διακριτική ευχέρεια στις αρμόδιες αρχές να απαιτούν από τους αγοραστές πιστώσεων (ή τους αντιπροσώπους τους) όπως παρέχουν στις αρμόδιες αρχές του κράτους μέλους καταγωγής συγκεκριμένες πληροφορίες (άρθρο 20(1)) σε τριμηνιαία βάση.</w:t>
            </w:r>
          </w:p>
        </w:tc>
        <w:tc>
          <w:tcPr>
            <w:tcW w:w="3402" w:type="dxa"/>
          </w:tcPr>
          <w:p w14:paraId="29FB0CAA" w14:textId="7912700B" w:rsidR="0092404D" w:rsidRPr="00931657" w:rsidRDefault="0092404D" w:rsidP="007D1A42">
            <w:pPr>
              <w:spacing w:before="120" w:after="120"/>
              <w:rPr>
                <w:rFonts w:ascii="Tahoma" w:hAnsi="Tahoma" w:cs="Tahoma"/>
                <w:color w:val="365F91" w:themeColor="accent1" w:themeShade="BF"/>
                <w:sz w:val="20"/>
                <w:szCs w:val="20"/>
              </w:rPr>
            </w:pPr>
            <w:r w:rsidRPr="00931657">
              <w:rPr>
                <w:rFonts w:ascii="Tahoma" w:hAnsi="Tahoma" w:cs="Tahoma"/>
                <w:sz w:val="20"/>
                <w:szCs w:val="20"/>
              </w:rPr>
              <w:t>Πρόθεση του ΥΠΟΙΚ είναι να εξασκηθεί</w:t>
            </w:r>
            <w:r>
              <w:rPr>
                <w:rFonts w:ascii="Tahoma" w:hAnsi="Tahoma" w:cs="Tahoma"/>
                <w:sz w:val="20"/>
                <w:szCs w:val="20"/>
              </w:rPr>
              <w:t>. Η ΚΤΚ στην παρούσα φάση ήδη λαμβάνει την εν λόγω πληροφόρηση.</w:t>
            </w:r>
            <w:r w:rsidRPr="00931657">
              <w:rPr>
                <w:rFonts w:ascii="Tahoma" w:hAnsi="Tahoma" w:cs="Tahoma"/>
                <w:i/>
                <w:color w:val="365F91" w:themeColor="accent1" w:themeShade="BF"/>
                <w:sz w:val="20"/>
                <w:szCs w:val="20"/>
              </w:rPr>
              <w:t xml:space="preserve">  </w:t>
            </w:r>
            <w:r w:rsidRPr="00931657">
              <w:rPr>
                <w:rFonts w:ascii="Tahoma" w:hAnsi="Tahoma" w:cs="Tahoma"/>
                <w:color w:val="365F91" w:themeColor="accent1" w:themeShade="BF"/>
                <w:sz w:val="20"/>
                <w:szCs w:val="20"/>
              </w:rPr>
              <w:t xml:space="preserve">  </w:t>
            </w:r>
          </w:p>
        </w:tc>
      </w:tr>
      <w:tr w:rsidR="0092404D" w:rsidRPr="00563D60" w14:paraId="788D0A1A" w14:textId="77777777" w:rsidTr="00596C6D">
        <w:trPr>
          <w:trHeight w:val="1070"/>
        </w:trPr>
        <w:tc>
          <w:tcPr>
            <w:tcW w:w="2263" w:type="dxa"/>
          </w:tcPr>
          <w:p w14:paraId="306EA112" w14:textId="23B29FC9" w:rsidR="0092404D" w:rsidRPr="00931657" w:rsidRDefault="0092404D" w:rsidP="0017667A">
            <w:pPr>
              <w:spacing w:before="120" w:after="120"/>
              <w:rPr>
                <w:rFonts w:ascii="Tahoma" w:hAnsi="Tahoma" w:cs="Tahoma"/>
                <w:sz w:val="20"/>
                <w:szCs w:val="20"/>
              </w:rPr>
            </w:pPr>
            <w:r w:rsidRPr="00931657">
              <w:rPr>
                <w:rFonts w:ascii="Tahoma" w:hAnsi="Tahoma" w:cs="Tahoma"/>
                <w:sz w:val="20"/>
                <w:szCs w:val="20"/>
              </w:rPr>
              <w:t>Άρθρο 27(2) (τροποποίηση της Οδηγίας 2008/48/ΕΚ</w:t>
            </w:r>
            <w:r w:rsidRPr="00931657">
              <w:rPr>
                <w:rStyle w:val="FootnoteReference"/>
                <w:rFonts w:ascii="Tahoma" w:hAnsi="Tahoma" w:cs="Tahoma"/>
                <w:sz w:val="20"/>
                <w:szCs w:val="20"/>
              </w:rPr>
              <w:footnoteReference w:id="1"/>
            </w:r>
            <w:r w:rsidRPr="00931657">
              <w:rPr>
                <w:rFonts w:ascii="Tahoma" w:hAnsi="Tahoma" w:cs="Tahoma"/>
                <w:sz w:val="20"/>
                <w:szCs w:val="20"/>
              </w:rPr>
              <w:t xml:space="preserve"> διά της παρεμβολής του Άρθρου 16</w:t>
            </w:r>
            <w:r w:rsidRPr="006F1FFF">
              <w:rPr>
                <w:rFonts w:ascii="Tahoma" w:hAnsi="Tahoma" w:cs="Tahoma"/>
                <w:sz w:val="20"/>
                <w:szCs w:val="20"/>
              </w:rPr>
              <w:t>α</w:t>
            </w:r>
            <w:r w:rsidR="006F1FFF" w:rsidRPr="006F1FFF">
              <w:rPr>
                <w:rFonts w:ascii="Tahoma" w:hAnsi="Tahoma" w:cs="Tahoma"/>
                <w:sz w:val="20"/>
                <w:szCs w:val="20"/>
              </w:rPr>
              <w:t>(2)</w:t>
            </w:r>
            <w:r w:rsidRPr="00931657">
              <w:rPr>
                <w:rFonts w:ascii="Tahoma" w:hAnsi="Tahoma" w:cs="Tahoma"/>
                <w:sz w:val="20"/>
                <w:szCs w:val="20"/>
              </w:rPr>
              <w:t>)</w:t>
            </w:r>
          </w:p>
        </w:tc>
        <w:tc>
          <w:tcPr>
            <w:tcW w:w="3969" w:type="dxa"/>
          </w:tcPr>
          <w:p w14:paraId="1F2609D4" w14:textId="6360009A" w:rsidR="0092404D" w:rsidRPr="00931657" w:rsidRDefault="0092404D" w:rsidP="0017667A">
            <w:pPr>
              <w:spacing w:before="120" w:after="120"/>
              <w:jc w:val="both"/>
              <w:rPr>
                <w:rFonts w:ascii="Tahoma" w:hAnsi="Tahoma" w:cs="Tahoma"/>
                <w:sz w:val="20"/>
                <w:szCs w:val="20"/>
              </w:rPr>
            </w:pPr>
            <w:r w:rsidRPr="00931657">
              <w:rPr>
                <w:rFonts w:ascii="Tahoma" w:hAnsi="Tahoma" w:cs="Tahoma"/>
                <w:sz w:val="20"/>
                <w:szCs w:val="20"/>
              </w:rPr>
              <w:t>Βάσει του Άρθρου 27(2)</w:t>
            </w:r>
            <w:r w:rsidR="006F1FFF" w:rsidRPr="006F1FFF">
              <w:rPr>
                <w:rFonts w:ascii="Tahoma" w:hAnsi="Tahoma" w:cs="Tahoma"/>
                <w:sz w:val="20"/>
                <w:szCs w:val="20"/>
              </w:rPr>
              <w:t xml:space="preserve">, </w:t>
            </w:r>
            <w:r w:rsidR="006F1FFF" w:rsidRPr="00931657">
              <w:rPr>
                <w:rFonts w:ascii="Tahoma" w:hAnsi="Tahoma" w:cs="Tahoma"/>
                <w:sz w:val="20"/>
                <w:szCs w:val="20"/>
              </w:rPr>
              <w:t>διά της παρεμβολής του Άρθρου 16</w:t>
            </w:r>
            <w:r w:rsidR="006F1FFF" w:rsidRPr="00583B63">
              <w:rPr>
                <w:rFonts w:ascii="Tahoma" w:hAnsi="Tahoma" w:cs="Tahoma"/>
                <w:sz w:val="20"/>
                <w:szCs w:val="20"/>
              </w:rPr>
              <w:t>α(</w:t>
            </w:r>
            <w:r w:rsidR="006F1FFF" w:rsidRPr="006F1FFF">
              <w:rPr>
                <w:rFonts w:ascii="Tahoma" w:hAnsi="Tahoma" w:cs="Tahoma"/>
                <w:sz w:val="20"/>
                <w:szCs w:val="20"/>
              </w:rPr>
              <w:t>2</w:t>
            </w:r>
            <w:r w:rsidR="006F1FFF" w:rsidRPr="00583B63">
              <w:rPr>
                <w:rFonts w:ascii="Tahoma" w:hAnsi="Tahoma" w:cs="Tahoma"/>
                <w:sz w:val="20"/>
                <w:szCs w:val="20"/>
              </w:rPr>
              <w:t>)</w:t>
            </w:r>
            <w:r w:rsidR="006F1FFF" w:rsidRPr="00505399">
              <w:rPr>
                <w:rFonts w:ascii="Tahoma" w:hAnsi="Tahoma" w:cs="Tahoma"/>
                <w:sz w:val="20"/>
                <w:szCs w:val="20"/>
              </w:rPr>
              <w:t>,</w:t>
            </w:r>
            <w:r w:rsidRPr="00931657">
              <w:rPr>
                <w:rFonts w:ascii="Tahoma" w:hAnsi="Tahoma" w:cs="Tahoma"/>
                <w:sz w:val="20"/>
                <w:szCs w:val="20"/>
              </w:rPr>
              <w:t xml:space="preserve"> παρέχεται αριθμός μέτρων ανοχής και δίδεται η διακριτική ευχέρεια στα κράτη μέλη για την ένταξη όλων ή όχι στο εθνικό δίκαιο.</w:t>
            </w:r>
          </w:p>
        </w:tc>
        <w:tc>
          <w:tcPr>
            <w:tcW w:w="3402" w:type="dxa"/>
          </w:tcPr>
          <w:p w14:paraId="59A40260" w14:textId="398B9A73" w:rsidR="0092404D" w:rsidRPr="00C708FB" w:rsidRDefault="0092404D" w:rsidP="0017667A">
            <w:pPr>
              <w:spacing w:before="120" w:after="120"/>
              <w:jc w:val="both"/>
              <w:rPr>
                <w:rFonts w:ascii="Tahoma" w:hAnsi="Tahoma" w:cs="Tahoma"/>
                <w:i/>
                <w:color w:val="365F91" w:themeColor="accent1" w:themeShade="BF"/>
                <w:sz w:val="20"/>
                <w:szCs w:val="20"/>
              </w:rPr>
            </w:pPr>
            <w:r>
              <w:rPr>
                <w:rFonts w:ascii="Tahoma" w:hAnsi="Tahoma" w:cs="Tahoma"/>
                <w:sz w:val="20"/>
                <w:szCs w:val="20"/>
              </w:rPr>
              <w:t>Πρόθεση του ΥΠΟΙΚ είναι να ενταχθούν όλα τα μέτρα ανοχής στο εθνικό δίκαιο</w:t>
            </w:r>
          </w:p>
        </w:tc>
      </w:tr>
      <w:tr w:rsidR="0092404D" w:rsidRPr="00563D60" w14:paraId="3A72BE46" w14:textId="77777777" w:rsidTr="00596C6D">
        <w:trPr>
          <w:trHeight w:val="792"/>
        </w:trPr>
        <w:tc>
          <w:tcPr>
            <w:tcW w:w="2263" w:type="dxa"/>
          </w:tcPr>
          <w:p w14:paraId="55C9713E" w14:textId="67C1014F" w:rsidR="0092404D" w:rsidRPr="00931657" w:rsidRDefault="0092404D" w:rsidP="0017667A">
            <w:pPr>
              <w:spacing w:before="120" w:after="120"/>
              <w:rPr>
                <w:rFonts w:ascii="Tahoma" w:hAnsi="Tahoma" w:cs="Tahoma"/>
                <w:sz w:val="20"/>
                <w:szCs w:val="20"/>
              </w:rPr>
            </w:pPr>
            <w:r w:rsidRPr="00931657">
              <w:rPr>
                <w:rFonts w:ascii="Tahoma" w:hAnsi="Tahoma" w:cs="Tahoma"/>
                <w:sz w:val="20"/>
                <w:szCs w:val="20"/>
              </w:rPr>
              <w:t>Άρθρο 27(</w:t>
            </w:r>
            <w:r w:rsidR="005D48E2" w:rsidRPr="005D48E2">
              <w:rPr>
                <w:rFonts w:ascii="Tahoma" w:hAnsi="Tahoma" w:cs="Tahoma"/>
                <w:sz w:val="20"/>
                <w:szCs w:val="20"/>
              </w:rPr>
              <w:t>2</w:t>
            </w:r>
            <w:r w:rsidRPr="00931657">
              <w:rPr>
                <w:rFonts w:ascii="Tahoma" w:hAnsi="Tahoma" w:cs="Tahoma"/>
                <w:sz w:val="20"/>
                <w:szCs w:val="20"/>
              </w:rPr>
              <w:t>) (τροποποίηση της Οδηγίας 2008/48/ΕΚ διά της παρεμβολής του Άρθρου 16</w:t>
            </w:r>
            <w:r w:rsidRPr="00583B63">
              <w:rPr>
                <w:rFonts w:ascii="Tahoma" w:hAnsi="Tahoma" w:cs="Tahoma"/>
                <w:sz w:val="20"/>
                <w:szCs w:val="20"/>
              </w:rPr>
              <w:t>α</w:t>
            </w:r>
            <w:r w:rsidR="00583B63" w:rsidRPr="00583B63">
              <w:rPr>
                <w:rFonts w:ascii="Tahoma" w:hAnsi="Tahoma" w:cs="Tahoma"/>
                <w:sz w:val="20"/>
                <w:szCs w:val="20"/>
              </w:rPr>
              <w:t>(3)</w:t>
            </w:r>
            <w:r w:rsidRPr="00931657">
              <w:rPr>
                <w:rFonts w:ascii="Tahoma" w:hAnsi="Tahoma" w:cs="Tahoma"/>
                <w:sz w:val="20"/>
                <w:szCs w:val="20"/>
              </w:rPr>
              <w:t>)</w:t>
            </w:r>
          </w:p>
        </w:tc>
        <w:tc>
          <w:tcPr>
            <w:tcW w:w="3969" w:type="dxa"/>
          </w:tcPr>
          <w:p w14:paraId="2C0A43A6" w14:textId="7DDB5B43" w:rsidR="0092404D" w:rsidRPr="00931657" w:rsidRDefault="0092404D" w:rsidP="0017667A">
            <w:pPr>
              <w:spacing w:before="120" w:after="120"/>
              <w:jc w:val="both"/>
              <w:rPr>
                <w:rFonts w:ascii="Tahoma" w:hAnsi="Tahoma" w:cs="Tahoma"/>
                <w:sz w:val="20"/>
                <w:szCs w:val="20"/>
              </w:rPr>
            </w:pPr>
            <w:r w:rsidRPr="00931657">
              <w:rPr>
                <w:rFonts w:ascii="Tahoma" w:hAnsi="Tahoma" w:cs="Tahoma"/>
                <w:sz w:val="20"/>
                <w:szCs w:val="20"/>
              </w:rPr>
              <w:t>Βάσει του Άρθρου 27(</w:t>
            </w:r>
            <w:r w:rsidR="005D48E2" w:rsidRPr="005D48E2">
              <w:rPr>
                <w:rFonts w:ascii="Tahoma" w:hAnsi="Tahoma" w:cs="Tahoma"/>
                <w:sz w:val="20"/>
                <w:szCs w:val="20"/>
              </w:rPr>
              <w:t>2</w:t>
            </w:r>
            <w:r w:rsidRPr="00931657">
              <w:rPr>
                <w:rFonts w:ascii="Tahoma" w:hAnsi="Tahoma" w:cs="Tahoma"/>
                <w:sz w:val="20"/>
                <w:szCs w:val="20"/>
              </w:rPr>
              <w:t>)</w:t>
            </w:r>
            <w:r w:rsidR="00583B63" w:rsidRPr="00583B63">
              <w:rPr>
                <w:rFonts w:ascii="Tahoma" w:hAnsi="Tahoma" w:cs="Tahoma"/>
                <w:sz w:val="20"/>
                <w:szCs w:val="20"/>
              </w:rPr>
              <w:t xml:space="preserve">, </w:t>
            </w:r>
            <w:r w:rsidR="00583B63" w:rsidRPr="00931657">
              <w:rPr>
                <w:rFonts w:ascii="Tahoma" w:hAnsi="Tahoma" w:cs="Tahoma"/>
                <w:sz w:val="20"/>
                <w:szCs w:val="20"/>
              </w:rPr>
              <w:t>διά της παρεμβολής του Άρθρου 16</w:t>
            </w:r>
            <w:r w:rsidR="00583B63" w:rsidRPr="00583B63">
              <w:rPr>
                <w:rFonts w:ascii="Tahoma" w:hAnsi="Tahoma" w:cs="Tahoma"/>
                <w:sz w:val="20"/>
                <w:szCs w:val="20"/>
              </w:rPr>
              <w:t>α(3)</w:t>
            </w:r>
            <w:r w:rsidR="00583B63" w:rsidRPr="006F1FFF">
              <w:rPr>
                <w:rFonts w:ascii="Tahoma" w:hAnsi="Tahoma" w:cs="Tahoma"/>
                <w:sz w:val="20"/>
                <w:szCs w:val="20"/>
              </w:rPr>
              <w:t>,</w:t>
            </w:r>
            <w:r w:rsidRPr="00931657">
              <w:rPr>
                <w:rFonts w:ascii="Tahoma" w:hAnsi="Tahoma" w:cs="Tahoma"/>
                <w:sz w:val="20"/>
                <w:szCs w:val="20"/>
              </w:rPr>
              <w:t xml:space="preserve"> δίδεται η διακριτική ευχέρεια στα κράτη μέλη να μπορούν να απαιτούν, όταν επιτρέπεται στον πιστωτή να καθορίζει και να επιβάλει επιβαρύνσεις στον καταναλωτή λόγω αθέτησης υποχρέωσης, οι επιβαρύνσεις αυτές να μην είναι μεγαλύτερες από ό,τι είναι αναγκαίο για την αποζημίωση του πιστωτή για τη ζημία που υπέστη λόγω της αθέτησης υποχρέωσης.</w:t>
            </w:r>
          </w:p>
        </w:tc>
        <w:tc>
          <w:tcPr>
            <w:tcW w:w="3402" w:type="dxa"/>
          </w:tcPr>
          <w:p w14:paraId="11F04CA9" w14:textId="6597CCCF" w:rsidR="0092404D" w:rsidRPr="005B4726" w:rsidRDefault="0092404D" w:rsidP="0017667A">
            <w:pPr>
              <w:spacing w:before="120" w:after="120"/>
              <w:jc w:val="both"/>
              <w:rPr>
                <w:rFonts w:ascii="Tahoma" w:hAnsi="Tahoma" w:cs="Tahoma"/>
                <w:sz w:val="20"/>
                <w:szCs w:val="20"/>
              </w:rPr>
            </w:pPr>
            <w:r w:rsidRPr="005B4726">
              <w:rPr>
                <w:rFonts w:ascii="Tahoma" w:hAnsi="Tahoma" w:cs="Tahoma"/>
                <w:sz w:val="20"/>
                <w:szCs w:val="20"/>
              </w:rPr>
              <w:t xml:space="preserve">Πρόθεση του ΥΠΟΙΚ είναι όπως η εν λόγω ευχέρεια εξασκηθεί και όπως </w:t>
            </w:r>
            <w:r w:rsidRPr="00931657">
              <w:rPr>
                <w:rFonts w:ascii="Tahoma" w:hAnsi="Tahoma" w:cs="Tahoma"/>
                <w:sz w:val="20"/>
                <w:szCs w:val="20"/>
              </w:rPr>
              <w:t>θεσπ</w:t>
            </w:r>
            <w:r>
              <w:rPr>
                <w:rFonts w:ascii="Tahoma" w:hAnsi="Tahoma" w:cs="Tahoma"/>
                <w:sz w:val="20"/>
                <w:szCs w:val="20"/>
              </w:rPr>
              <w:t>ιστεί</w:t>
            </w:r>
            <w:r w:rsidRPr="00931657">
              <w:rPr>
                <w:rFonts w:ascii="Tahoma" w:hAnsi="Tahoma" w:cs="Tahoma"/>
                <w:sz w:val="20"/>
                <w:szCs w:val="20"/>
              </w:rPr>
              <w:t xml:space="preserve"> ανώτατο όριο για αυτές τις επιβαρύνσεις</w:t>
            </w:r>
            <w:r>
              <w:rPr>
                <w:rFonts w:ascii="Tahoma" w:hAnsi="Tahoma" w:cs="Tahoma"/>
                <w:sz w:val="20"/>
                <w:szCs w:val="20"/>
              </w:rPr>
              <w:t xml:space="preserve"> (βλέπε ευχέρεια πιο κάτω) αντίστοιχο με το καθοριζόμενο όριο στον </w:t>
            </w:r>
            <w:r w:rsidR="00162C11">
              <w:rPr>
                <w:rFonts w:ascii="Tahoma" w:hAnsi="Tahoma" w:cs="Tahoma"/>
                <w:sz w:val="20"/>
                <w:szCs w:val="20"/>
              </w:rPr>
              <w:t xml:space="preserve">περί </w:t>
            </w:r>
            <w:r w:rsidR="00162C11" w:rsidRPr="00162C11">
              <w:rPr>
                <w:rFonts w:ascii="Tahoma" w:hAnsi="Tahoma" w:cs="Tahoma"/>
                <w:sz w:val="20"/>
                <w:szCs w:val="20"/>
              </w:rPr>
              <w:t>Ελευθεροποίησης του Επιτοκίου και Συναφών Θεμάτων Νόμο</w:t>
            </w:r>
            <w:r w:rsidRPr="005B4726">
              <w:rPr>
                <w:rFonts w:ascii="Tahoma" w:hAnsi="Tahoma" w:cs="Tahoma"/>
                <w:sz w:val="20"/>
                <w:szCs w:val="20"/>
              </w:rPr>
              <w:t>.</w:t>
            </w:r>
          </w:p>
          <w:p w14:paraId="4AB9B946" w14:textId="77777777" w:rsidR="0092404D" w:rsidRPr="005B4726" w:rsidRDefault="0092404D" w:rsidP="0017667A">
            <w:pPr>
              <w:spacing w:before="120" w:after="120"/>
              <w:jc w:val="both"/>
              <w:rPr>
                <w:rFonts w:ascii="Tahoma" w:hAnsi="Tahoma" w:cs="Tahoma"/>
                <w:sz w:val="20"/>
                <w:szCs w:val="20"/>
              </w:rPr>
            </w:pPr>
          </w:p>
        </w:tc>
      </w:tr>
      <w:tr w:rsidR="0092404D" w:rsidRPr="00563D60" w14:paraId="2883E5EF" w14:textId="77777777" w:rsidTr="00596C6D">
        <w:trPr>
          <w:trHeight w:val="553"/>
        </w:trPr>
        <w:tc>
          <w:tcPr>
            <w:tcW w:w="2263" w:type="dxa"/>
          </w:tcPr>
          <w:p w14:paraId="5EFA4E95" w14:textId="1EC241C5" w:rsidR="0092404D" w:rsidRPr="00931657" w:rsidRDefault="0092404D" w:rsidP="005B4726">
            <w:pPr>
              <w:spacing w:before="120" w:after="120"/>
              <w:rPr>
                <w:rFonts w:ascii="Tahoma" w:hAnsi="Tahoma" w:cs="Tahoma"/>
                <w:sz w:val="20"/>
                <w:szCs w:val="20"/>
              </w:rPr>
            </w:pPr>
            <w:r w:rsidRPr="00931657">
              <w:rPr>
                <w:rFonts w:ascii="Tahoma" w:hAnsi="Tahoma" w:cs="Tahoma"/>
                <w:sz w:val="20"/>
                <w:szCs w:val="20"/>
              </w:rPr>
              <w:lastRenderedPageBreak/>
              <w:t>Άρθρο 27(</w:t>
            </w:r>
            <w:r w:rsidR="005D48E2" w:rsidRPr="005D48E2">
              <w:rPr>
                <w:rFonts w:ascii="Tahoma" w:hAnsi="Tahoma" w:cs="Tahoma"/>
                <w:sz w:val="20"/>
                <w:szCs w:val="20"/>
              </w:rPr>
              <w:t>2</w:t>
            </w:r>
            <w:r w:rsidRPr="00931657">
              <w:rPr>
                <w:rFonts w:ascii="Tahoma" w:hAnsi="Tahoma" w:cs="Tahoma"/>
                <w:sz w:val="20"/>
                <w:szCs w:val="20"/>
              </w:rPr>
              <w:t xml:space="preserve">) (τροποποίηση της Οδηγίας 2008/48/ΕΚ διά της παρεμβολής του Άρθρου </w:t>
            </w:r>
            <w:r w:rsidR="00583B63" w:rsidRPr="00931657">
              <w:rPr>
                <w:rFonts w:ascii="Tahoma" w:hAnsi="Tahoma" w:cs="Tahoma"/>
                <w:sz w:val="20"/>
                <w:szCs w:val="20"/>
              </w:rPr>
              <w:t>16</w:t>
            </w:r>
            <w:r w:rsidR="00583B63" w:rsidRPr="00583B63">
              <w:rPr>
                <w:rFonts w:ascii="Tahoma" w:hAnsi="Tahoma" w:cs="Tahoma"/>
                <w:sz w:val="20"/>
                <w:szCs w:val="20"/>
              </w:rPr>
              <w:t>α(4)</w:t>
            </w:r>
            <w:r w:rsidR="00583B63" w:rsidRPr="00931657">
              <w:rPr>
                <w:rFonts w:ascii="Tahoma" w:hAnsi="Tahoma" w:cs="Tahoma"/>
                <w:sz w:val="20"/>
                <w:szCs w:val="20"/>
              </w:rPr>
              <w:t>)</w:t>
            </w:r>
          </w:p>
        </w:tc>
        <w:tc>
          <w:tcPr>
            <w:tcW w:w="3969" w:type="dxa"/>
          </w:tcPr>
          <w:p w14:paraId="43A58B16" w14:textId="41809B87" w:rsidR="0092404D" w:rsidRPr="00931657" w:rsidRDefault="0092404D" w:rsidP="005B4726">
            <w:pPr>
              <w:spacing w:before="120" w:after="120"/>
              <w:jc w:val="both"/>
              <w:rPr>
                <w:rFonts w:ascii="Tahoma" w:hAnsi="Tahoma" w:cs="Tahoma"/>
                <w:sz w:val="20"/>
                <w:szCs w:val="20"/>
              </w:rPr>
            </w:pPr>
            <w:r w:rsidRPr="00931657">
              <w:rPr>
                <w:rFonts w:ascii="Tahoma" w:hAnsi="Tahoma" w:cs="Tahoma"/>
                <w:sz w:val="20"/>
                <w:szCs w:val="20"/>
              </w:rPr>
              <w:t>Βάσει του  Άρθρου 27(</w:t>
            </w:r>
            <w:r w:rsidR="005D48E2" w:rsidRPr="00583B63">
              <w:rPr>
                <w:rFonts w:ascii="Tahoma" w:hAnsi="Tahoma" w:cs="Tahoma"/>
                <w:sz w:val="20"/>
                <w:szCs w:val="20"/>
              </w:rPr>
              <w:t>2</w:t>
            </w:r>
            <w:r w:rsidRPr="00931657">
              <w:rPr>
                <w:rFonts w:ascii="Tahoma" w:hAnsi="Tahoma" w:cs="Tahoma"/>
                <w:sz w:val="20"/>
                <w:szCs w:val="20"/>
              </w:rPr>
              <w:t>)</w:t>
            </w:r>
            <w:r w:rsidR="00583B63" w:rsidRPr="00583B63">
              <w:rPr>
                <w:rFonts w:ascii="Tahoma" w:hAnsi="Tahoma" w:cs="Tahoma"/>
                <w:sz w:val="20"/>
                <w:szCs w:val="20"/>
              </w:rPr>
              <w:t xml:space="preserve">, </w:t>
            </w:r>
            <w:r w:rsidR="00583B63" w:rsidRPr="00931657">
              <w:rPr>
                <w:rFonts w:ascii="Tahoma" w:hAnsi="Tahoma" w:cs="Tahoma"/>
                <w:sz w:val="20"/>
                <w:szCs w:val="20"/>
              </w:rPr>
              <w:t>διά της παρεμβολής του Άρθρου 16</w:t>
            </w:r>
            <w:r w:rsidR="00583B63" w:rsidRPr="00583B63">
              <w:rPr>
                <w:rFonts w:ascii="Tahoma" w:hAnsi="Tahoma" w:cs="Tahoma"/>
                <w:sz w:val="20"/>
                <w:szCs w:val="20"/>
              </w:rPr>
              <w:t>α(4),</w:t>
            </w:r>
            <w:r w:rsidRPr="00931657">
              <w:rPr>
                <w:rFonts w:ascii="Tahoma" w:hAnsi="Tahoma" w:cs="Tahoma"/>
                <w:sz w:val="20"/>
                <w:szCs w:val="20"/>
              </w:rPr>
              <w:t xml:space="preserve"> δίδεται η διακριτική ευχέρεια στα κράτη μέλη να μπορούν να μπορούν να επιτρέπουν στους πιστωτές να επιβάλλουν πρόσθετες επιβαρύνσεις στον καταναλωτή σε περίπτωση αθέτησης υποχρέωσης. Σε αυτήν την περίπτωση, τα κράτη μέλη θεσπίζουν ανώτατο όριο για αυτές τις επιβαρύνσεις.».</w:t>
            </w:r>
          </w:p>
        </w:tc>
        <w:tc>
          <w:tcPr>
            <w:tcW w:w="3402" w:type="dxa"/>
          </w:tcPr>
          <w:p w14:paraId="353F7350" w14:textId="4DF3D283" w:rsidR="0092404D" w:rsidRPr="005B4726" w:rsidRDefault="0092404D" w:rsidP="005B4726">
            <w:pPr>
              <w:spacing w:before="120" w:after="120"/>
              <w:jc w:val="both"/>
              <w:rPr>
                <w:rFonts w:ascii="Tahoma" w:hAnsi="Tahoma" w:cs="Tahoma"/>
                <w:sz w:val="20"/>
                <w:szCs w:val="20"/>
              </w:rPr>
            </w:pPr>
            <w:r w:rsidRPr="005B4726">
              <w:rPr>
                <w:rFonts w:ascii="Tahoma" w:hAnsi="Tahoma" w:cs="Tahoma"/>
                <w:sz w:val="20"/>
                <w:szCs w:val="20"/>
              </w:rPr>
              <w:t xml:space="preserve">Πρόθεση του ΥΠΟΙΚ είναι όπως η εν λόγω ευχέρεια εξασκηθεί και όπως </w:t>
            </w:r>
            <w:r w:rsidRPr="00931657">
              <w:rPr>
                <w:rFonts w:ascii="Tahoma" w:hAnsi="Tahoma" w:cs="Tahoma"/>
                <w:sz w:val="20"/>
                <w:szCs w:val="20"/>
              </w:rPr>
              <w:t>θεσπ</w:t>
            </w:r>
            <w:r>
              <w:rPr>
                <w:rFonts w:ascii="Tahoma" w:hAnsi="Tahoma" w:cs="Tahoma"/>
                <w:sz w:val="20"/>
                <w:szCs w:val="20"/>
              </w:rPr>
              <w:t>ιστεί</w:t>
            </w:r>
            <w:r w:rsidRPr="00931657">
              <w:rPr>
                <w:rFonts w:ascii="Tahoma" w:hAnsi="Tahoma" w:cs="Tahoma"/>
                <w:sz w:val="20"/>
                <w:szCs w:val="20"/>
              </w:rPr>
              <w:t xml:space="preserve"> ανώτατο όριο για αυτές τις επιβαρύνσεις</w:t>
            </w:r>
            <w:r>
              <w:rPr>
                <w:rFonts w:ascii="Tahoma" w:hAnsi="Tahoma" w:cs="Tahoma"/>
                <w:sz w:val="20"/>
                <w:szCs w:val="20"/>
              </w:rPr>
              <w:t xml:space="preserve"> (βλέπει ευχέρεια πιο κάτω) αντίστοιχο με το καθοριζόμενο </w:t>
            </w:r>
            <w:r w:rsidR="00162C11">
              <w:rPr>
                <w:rFonts w:ascii="Tahoma" w:hAnsi="Tahoma" w:cs="Tahoma"/>
                <w:sz w:val="20"/>
                <w:szCs w:val="20"/>
              </w:rPr>
              <w:t xml:space="preserve">στον </w:t>
            </w:r>
            <w:r>
              <w:rPr>
                <w:rFonts w:ascii="Tahoma" w:hAnsi="Tahoma" w:cs="Tahoma"/>
                <w:sz w:val="20"/>
                <w:szCs w:val="20"/>
              </w:rPr>
              <w:t xml:space="preserve">όριο </w:t>
            </w:r>
            <w:r w:rsidR="00162C11">
              <w:rPr>
                <w:rFonts w:ascii="Tahoma" w:hAnsi="Tahoma" w:cs="Tahoma"/>
                <w:sz w:val="20"/>
                <w:szCs w:val="20"/>
              </w:rPr>
              <w:t xml:space="preserve">περί </w:t>
            </w:r>
            <w:r w:rsidR="00162C11" w:rsidRPr="00162C11">
              <w:rPr>
                <w:rFonts w:ascii="Tahoma" w:hAnsi="Tahoma" w:cs="Tahoma"/>
                <w:sz w:val="20"/>
                <w:szCs w:val="20"/>
              </w:rPr>
              <w:t>Ελευθεροποίησης του Επιτοκίου και Συναφών Θεμάτων Νόμο</w:t>
            </w:r>
            <w:r w:rsidRPr="005B4726">
              <w:rPr>
                <w:rFonts w:ascii="Tahoma" w:hAnsi="Tahoma" w:cs="Tahoma"/>
                <w:sz w:val="20"/>
                <w:szCs w:val="20"/>
              </w:rPr>
              <w:t>.</w:t>
            </w:r>
          </w:p>
          <w:p w14:paraId="090EB473" w14:textId="77777777" w:rsidR="0092404D" w:rsidRPr="00931657" w:rsidRDefault="0092404D" w:rsidP="005B4726">
            <w:pPr>
              <w:spacing w:before="120" w:after="120"/>
              <w:jc w:val="both"/>
              <w:rPr>
                <w:rFonts w:ascii="Tahoma" w:hAnsi="Tahoma" w:cs="Tahoma"/>
                <w:sz w:val="20"/>
                <w:szCs w:val="20"/>
              </w:rPr>
            </w:pPr>
          </w:p>
        </w:tc>
      </w:tr>
      <w:tr w:rsidR="0092404D" w:rsidRPr="00563D60" w14:paraId="0D70550C" w14:textId="77777777" w:rsidTr="00572DF2">
        <w:trPr>
          <w:trHeight w:val="1782"/>
        </w:trPr>
        <w:tc>
          <w:tcPr>
            <w:tcW w:w="2263" w:type="dxa"/>
          </w:tcPr>
          <w:p w14:paraId="6718DB23" w14:textId="77777777" w:rsidR="0092404D" w:rsidRPr="00931657" w:rsidRDefault="0092404D" w:rsidP="0017667A">
            <w:pPr>
              <w:spacing w:before="120" w:after="120"/>
              <w:rPr>
                <w:rFonts w:ascii="Tahoma" w:hAnsi="Tahoma" w:cs="Tahoma"/>
                <w:sz w:val="20"/>
                <w:szCs w:val="20"/>
              </w:rPr>
            </w:pPr>
            <w:r w:rsidRPr="00931657">
              <w:rPr>
                <w:rFonts w:ascii="Tahoma" w:hAnsi="Tahoma" w:cs="Tahoma"/>
                <w:sz w:val="20"/>
                <w:szCs w:val="20"/>
              </w:rPr>
              <w:t>Άρθρο 28(2) (τροποποίηση του Άρθρου 28 της Οδηγίας 2014/17/ΕΕ</w:t>
            </w:r>
            <w:r w:rsidRPr="00931657">
              <w:rPr>
                <w:rStyle w:val="FootnoteReference"/>
                <w:rFonts w:ascii="Tahoma" w:hAnsi="Tahoma" w:cs="Tahoma"/>
                <w:sz w:val="20"/>
                <w:szCs w:val="20"/>
              </w:rPr>
              <w:footnoteReference w:id="2"/>
            </w:r>
            <w:r w:rsidRPr="00931657">
              <w:rPr>
                <w:rFonts w:ascii="Tahoma" w:hAnsi="Tahoma" w:cs="Tahoma"/>
                <w:sz w:val="20"/>
                <w:szCs w:val="20"/>
              </w:rPr>
              <w:t xml:space="preserve"> διά της αντικατάστασής του)</w:t>
            </w:r>
          </w:p>
        </w:tc>
        <w:tc>
          <w:tcPr>
            <w:tcW w:w="3969" w:type="dxa"/>
          </w:tcPr>
          <w:p w14:paraId="3F9BBB56" w14:textId="77777777" w:rsidR="0092404D" w:rsidRPr="00931657" w:rsidRDefault="0092404D" w:rsidP="0017667A">
            <w:pPr>
              <w:spacing w:before="120" w:after="120"/>
              <w:jc w:val="both"/>
              <w:rPr>
                <w:rFonts w:ascii="Tahoma" w:hAnsi="Tahoma" w:cs="Tahoma"/>
                <w:sz w:val="20"/>
                <w:szCs w:val="20"/>
              </w:rPr>
            </w:pPr>
            <w:r w:rsidRPr="00931657">
              <w:rPr>
                <w:rFonts w:ascii="Tahoma" w:hAnsi="Tahoma" w:cs="Tahoma"/>
                <w:sz w:val="20"/>
                <w:szCs w:val="20"/>
              </w:rPr>
              <w:t>Βάσει του Άρθρου 28(1α) παρέχεται αριθμός μέτρων ανοχής και δίδεται η διακριτική ευχέρεια στα κράτη μέλη για την ένταξη όλων ή όχι στο εθνικό δίκαιο.</w:t>
            </w:r>
          </w:p>
        </w:tc>
        <w:tc>
          <w:tcPr>
            <w:tcW w:w="3402" w:type="dxa"/>
          </w:tcPr>
          <w:p w14:paraId="334E2481" w14:textId="701CD564" w:rsidR="0092404D" w:rsidRPr="00C708FB" w:rsidRDefault="0092404D" w:rsidP="00C708FB">
            <w:pPr>
              <w:spacing w:before="120" w:after="120"/>
              <w:jc w:val="both"/>
              <w:rPr>
                <w:rFonts w:ascii="Tahoma" w:hAnsi="Tahoma" w:cs="Tahoma"/>
                <w:sz w:val="20"/>
                <w:szCs w:val="20"/>
              </w:rPr>
            </w:pPr>
            <w:r>
              <w:rPr>
                <w:rFonts w:ascii="Tahoma" w:hAnsi="Tahoma" w:cs="Tahoma"/>
                <w:sz w:val="20"/>
                <w:szCs w:val="20"/>
              </w:rPr>
              <w:t>Πρόθεση του ΥΠΟΙΚ είναι να ενταχθούν όλα τα μέτρα ανοχής στο εθνικό δίκαιο</w:t>
            </w:r>
            <w:r w:rsidR="003F3347">
              <w:rPr>
                <w:rFonts w:ascii="Tahoma" w:hAnsi="Tahoma" w:cs="Tahoma"/>
                <w:sz w:val="20"/>
                <w:szCs w:val="20"/>
              </w:rPr>
              <w:t>.</w:t>
            </w:r>
          </w:p>
        </w:tc>
      </w:tr>
      <w:tr w:rsidR="0092404D" w:rsidRPr="00563D60" w14:paraId="5D2A90A2" w14:textId="77777777" w:rsidTr="00596C6D">
        <w:trPr>
          <w:trHeight w:val="1872"/>
        </w:trPr>
        <w:tc>
          <w:tcPr>
            <w:tcW w:w="2263" w:type="dxa"/>
          </w:tcPr>
          <w:p w14:paraId="297B5AC5" w14:textId="77777777" w:rsidR="0092404D" w:rsidRPr="00931657" w:rsidRDefault="0092404D" w:rsidP="0017667A">
            <w:pPr>
              <w:spacing w:before="120" w:after="120"/>
              <w:rPr>
                <w:rFonts w:ascii="Tahoma" w:hAnsi="Tahoma" w:cs="Tahoma"/>
                <w:sz w:val="20"/>
                <w:szCs w:val="20"/>
              </w:rPr>
            </w:pPr>
            <w:r w:rsidRPr="00931657">
              <w:rPr>
                <w:rFonts w:ascii="Tahoma" w:hAnsi="Tahoma" w:cs="Tahoma"/>
                <w:sz w:val="20"/>
                <w:szCs w:val="20"/>
              </w:rPr>
              <w:t>Άρθρο 32 (2) τρίτο εδάφιο</w:t>
            </w:r>
          </w:p>
        </w:tc>
        <w:tc>
          <w:tcPr>
            <w:tcW w:w="3969" w:type="dxa"/>
          </w:tcPr>
          <w:p w14:paraId="7C55EDE3" w14:textId="77777777" w:rsidR="0092404D" w:rsidRPr="00931657" w:rsidRDefault="0092404D" w:rsidP="0017667A">
            <w:pPr>
              <w:spacing w:before="120" w:after="120"/>
              <w:jc w:val="both"/>
              <w:rPr>
                <w:rFonts w:ascii="Tahoma" w:hAnsi="Tahoma" w:cs="Tahoma"/>
                <w:sz w:val="20"/>
                <w:szCs w:val="20"/>
              </w:rPr>
            </w:pPr>
            <w:r w:rsidRPr="00931657">
              <w:rPr>
                <w:rFonts w:ascii="Tahoma" w:hAnsi="Tahoma" w:cs="Tahoma"/>
                <w:sz w:val="20"/>
                <w:szCs w:val="20"/>
              </w:rPr>
              <w:t>Τα κράτη μέλη που εφαρμόζουν καθεστώτα τα οποία είναι ισοδύναμα με, ή αυστηρότερα από, αυτά που θεσπίζονται στην οδηγία για τις δραστηριότητες διαχείρισης πιστώσεων μπορούν να επιτρέψουν στις οντότητες που ασκούν ήδη δραστηριότητες διαχείρισης πιστώσεων βάσει αυτών των καθεστώτων στις 30 Δεκεμβρίου 2023 να αναγνωρίζονται αυτομάτως ως αδειοδοτημένοι διαχειριστές πιστώσεων από τις εθνικές διατάξεις μεταφοράς της παρούσας οδηγίας στο εθνικό δίκαιο.</w:t>
            </w:r>
          </w:p>
        </w:tc>
        <w:tc>
          <w:tcPr>
            <w:tcW w:w="3402" w:type="dxa"/>
          </w:tcPr>
          <w:p w14:paraId="079411C2" w14:textId="174BB1E1" w:rsidR="0092404D" w:rsidRPr="00931657" w:rsidRDefault="0092404D" w:rsidP="0017667A">
            <w:pPr>
              <w:spacing w:before="120" w:after="120"/>
              <w:jc w:val="both"/>
              <w:rPr>
                <w:rFonts w:ascii="Tahoma" w:hAnsi="Tahoma" w:cs="Tahoma"/>
                <w:sz w:val="20"/>
                <w:szCs w:val="20"/>
              </w:rPr>
            </w:pPr>
            <w:r w:rsidRPr="00931657">
              <w:rPr>
                <w:rFonts w:ascii="Tahoma" w:hAnsi="Tahoma" w:cs="Tahoma"/>
                <w:sz w:val="20"/>
                <w:szCs w:val="20"/>
              </w:rPr>
              <w:t>Πρόθεση του ΥΠΟΙΚ είναι να εξασκηθεί</w:t>
            </w:r>
            <w:r w:rsidRPr="0092404D">
              <w:rPr>
                <w:rFonts w:ascii="Tahoma" w:hAnsi="Tahoma" w:cs="Tahoma"/>
                <w:sz w:val="20"/>
                <w:szCs w:val="20"/>
              </w:rPr>
              <w:t xml:space="preserve"> (αφορά τους διαχειριστές</w:t>
            </w:r>
            <w:r w:rsidR="003F3347">
              <w:rPr>
                <w:rFonts w:ascii="Tahoma" w:hAnsi="Tahoma" w:cs="Tahoma"/>
                <w:sz w:val="20"/>
                <w:szCs w:val="20"/>
              </w:rPr>
              <w:t xml:space="preserve"> και εταιρείες εξαγοράς πιστώσεων που ασκούν δραστηριότητες </w:t>
            </w:r>
            <w:r w:rsidR="005077DD">
              <w:rPr>
                <w:rFonts w:ascii="Tahoma" w:hAnsi="Tahoma" w:cs="Tahoma"/>
                <w:sz w:val="20"/>
                <w:szCs w:val="20"/>
              </w:rPr>
              <w:t>διαχείρισης</w:t>
            </w:r>
            <w:r w:rsidRPr="0092404D">
              <w:rPr>
                <w:rFonts w:ascii="Tahoma" w:hAnsi="Tahoma" w:cs="Tahoma"/>
                <w:sz w:val="20"/>
                <w:szCs w:val="20"/>
              </w:rPr>
              <w:t xml:space="preserve"> που θα έχουν ήδη λάβει άδεια από την ΚΤΚ και θα λειτουργούν στις 30/12/23).</w:t>
            </w:r>
          </w:p>
          <w:p w14:paraId="5679EF5B" w14:textId="77777777" w:rsidR="0092404D" w:rsidRPr="00931657" w:rsidRDefault="0092404D" w:rsidP="0017667A">
            <w:pPr>
              <w:jc w:val="both"/>
              <w:rPr>
                <w:rFonts w:ascii="Tahoma" w:hAnsi="Tahoma" w:cs="Tahoma"/>
                <w:sz w:val="20"/>
                <w:szCs w:val="20"/>
              </w:rPr>
            </w:pPr>
          </w:p>
          <w:p w14:paraId="1EE05286" w14:textId="2BD35226" w:rsidR="0092404D" w:rsidRPr="00931657" w:rsidRDefault="0092404D" w:rsidP="0017667A">
            <w:pPr>
              <w:jc w:val="both"/>
              <w:rPr>
                <w:rFonts w:ascii="Tahoma" w:hAnsi="Tahoma" w:cs="Tahoma"/>
                <w:sz w:val="20"/>
                <w:szCs w:val="20"/>
              </w:rPr>
            </w:pPr>
          </w:p>
        </w:tc>
      </w:tr>
    </w:tbl>
    <w:p w14:paraId="549F65FF" w14:textId="77777777" w:rsidR="00A25463" w:rsidRPr="00931657" w:rsidRDefault="00A25463" w:rsidP="00572DF2">
      <w:pPr>
        <w:spacing w:after="160" w:line="259" w:lineRule="auto"/>
        <w:rPr>
          <w:rFonts w:ascii="Tahoma" w:eastAsia="Calibri" w:hAnsi="Tahoma" w:cs="Tahoma"/>
          <w:b/>
          <w:sz w:val="20"/>
          <w:szCs w:val="20"/>
          <w:u w:val="single"/>
          <w:lang w:val="el-GR"/>
        </w:rPr>
      </w:pPr>
    </w:p>
    <w:sectPr w:rsidR="00A25463" w:rsidRPr="00931657" w:rsidSect="001A2EC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AE94" w14:textId="77777777" w:rsidR="007B668D" w:rsidRDefault="007B668D" w:rsidP="00B741A8">
      <w:pPr>
        <w:spacing w:after="0" w:line="240" w:lineRule="auto"/>
      </w:pPr>
      <w:r>
        <w:separator/>
      </w:r>
    </w:p>
  </w:endnote>
  <w:endnote w:type="continuationSeparator" w:id="0">
    <w:p w14:paraId="3DA1659C" w14:textId="77777777" w:rsidR="007B668D" w:rsidRDefault="007B668D" w:rsidP="00B7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CAF7" w14:textId="77777777" w:rsidR="007B668D" w:rsidRDefault="007B668D" w:rsidP="00B741A8">
      <w:pPr>
        <w:spacing w:after="0" w:line="240" w:lineRule="auto"/>
      </w:pPr>
      <w:r>
        <w:separator/>
      </w:r>
    </w:p>
  </w:footnote>
  <w:footnote w:type="continuationSeparator" w:id="0">
    <w:p w14:paraId="1E31A416" w14:textId="77777777" w:rsidR="007B668D" w:rsidRDefault="007B668D" w:rsidP="00B741A8">
      <w:pPr>
        <w:spacing w:after="0" w:line="240" w:lineRule="auto"/>
      </w:pPr>
      <w:r>
        <w:continuationSeparator/>
      </w:r>
    </w:p>
  </w:footnote>
  <w:footnote w:id="1">
    <w:p w14:paraId="7D588562" w14:textId="147E8028" w:rsidR="0092404D" w:rsidRPr="000516CF" w:rsidRDefault="0092404D" w:rsidP="00075ADC">
      <w:pPr>
        <w:pStyle w:val="FootnoteText"/>
        <w:jc w:val="both"/>
        <w:rPr>
          <w:rFonts w:ascii="Tahoma" w:hAnsi="Tahoma" w:cs="Tahoma"/>
          <w:sz w:val="16"/>
          <w:szCs w:val="16"/>
          <w:lang w:val="el-GR"/>
        </w:rPr>
      </w:pPr>
      <w:r w:rsidRPr="00103273">
        <w:rPr>
          <w:rStyle w:val="FootnoteReference"/>
          <w:rFonts w:ascii="Tahoma" w:hAnsi="Tahoma" w:cs="Tahoma"/>
          <w:sz w:val="16"/>
          <w:szCs w:val="16"/>
        </w:rPr>
        <w:footnoteRef/>
      </w:r>
      <w:r w:rsidRPr="00103273">
        <w:rPr>
          <w:rFonts w:ascii="Tahoma" w:hAnsi="Tahoma" w:cs="Tahoma"/>
          <w:sz w:val="16"/>
          <w:szCs w:val="16"/>
          <w:lang w:val="el-GR"/>
        </w:rPr>
        <w:t xml:space="preserve"> Οδηγία 2008/48/ΕΚ του Ευρωπαϊκού Κοινοβουλίου και του Συμβουλίου, της 23ης Απριλίου 2008, για τις συμβάσεις καταναλωτικής πίστης και την κατάργηση της οδ</w:t>
      </w:r>
      <w:r>
        <w:rPr>
          <w:rFonts w:ascii="Tahoma" w:hAnsi="Tahoma" w:cs="Tahoma"/>
          <w:sz w:val="16"/>
          <w:szCs w:val="16"/>
          <w:lang w:val="el-GR"/>
        </w:rPr>
        <w:t>ηγίας 87/102/ΕΟΚ του Συμβουλίου (Consumer Credit Directive).</w:t>
      </w:r>
    </w:p>
    <w:p w14:paraId="4801FAA9" w14:textId="77777777" w:rsidR="0092404D" w:rsidRPr="00103273" w:rsidRDefault="0092404D" w:rsidP="00075ADC">
      <w:pPr>
        <w:pStyle w:val="FootnoteText"/>
        <w:jc w:val="both"/>
        <w:rPr>
          <w:rFonts w:ascii="Tahoma" w:hAnsi="Tahoma" w:cs="Tahoma"/>
          <w:sz w:val="16"/>
          <w:szCs w:val="16"/>
          <w:lang w:val="el-GR"/>
        </w:rPr>
      </w:pPr>
    </w:p>
  </w:footnote>
  <w:footnote w:id="2">
    <w:p w14:paraId="0EF9FB31" w14:textId="6FC2853E" w:rsidR="0092404D" w:rsidRPr="00103273" w:rsidRDefault="0092404D" w:rsidP="00075ADC">
      <w:pPr>
        <w:pStyle w:val="FootnoteText"/>
        <w:jc w:val="both"/>
        <w:rPr>
          <w:rFonts w:ascii="Tahoma" w:hAnsi="Tahoma" w:cs="Tahoma"/>
          <w:sz w:val="16"/>
          <w:szCs w:val="16"/>
          <w:lang w:val="el-GR"/>
        </w:rPr>
      </w:pPr>
      <w:r w:rsidRPr="00103273">
        <w:rPr>
          <w:rStyle w:val="FootnoteReference"/>
          <w:rFonts w:ascii="Tahoma" w:hAnsi="Tahoma" w:cs="Tahoma"/>
          <w:sz w:val="16"/>
          <w:szCs w:val="16"/>
        </w:rPr>
        <w:footnoteRef/>
      </w:r>
      <w:r w:rsidRPr="00103273">
        <w:rPr>
          <w:rFonts w:ascii="Tahoma" w:hAnsi="Tahoma" w:cs="Tahoma"/>
          <w:sz w:val="16"/>
          <w:szCs w:val="16"/>
          <w:lang w:val="el-GR"/>
        </w:rPr>
        <w:t xml:space="preserve"> Οδηγία 2014/17/ΕΕ του Ευρωπαϊκού Κοινοβουλίου και του Συμβουλίου, της 4ης Φεβρουαρίου 2014, σχετικά με τις συμβάσεις πίστωσης για καταναλωτές για ακίνητα που προορίζονται για κατοικία και την τροποποίηση των οδηγιών 2008/48/ΕΚ και 2013/36/EE και του </w:t>
      </w:r>
      <w:r>
        <w:rPr>
          <w:rFonts w:ascii="Tahoma" w:hAnsi="Tahoma" w:cs="Tahoma"/>
          <w:sz w:val="16"/>
          <w:szCs w:val="16"/>
          <w:lang w:val="el-GR"/>
        </w:rPr>
        <w:t>κανονισμού (ΕΕ) αριθ. 1093/2010 (</w:t>
      </w:r>
      <w:r w:rsidRPr="00B14662">
        <w:rPr>
          <w:rFonts w:ascii="Tahoma" w:hAnsi="Tahoma" w:cs="Tahoma"/>
          <w:sz w:val="16"/>
          <w:szCs w:val="16"/>
          <w:lang w:val="el-GR"/>
        </w:rPr>
        <w:t xml:space="preserve"> </w:t>
      </w:r>
      <w:r>
        <w:rPr>
          <w:rFonts w:ascii="Tahoma" w:hAnsi="Tahoma" w:cs="Tahoma"/>
          <w:sz w:val="16"/>
          <w:szCs w:val="16"/>
          <w:lang w:val="en-GB"/>
        </w:rPr>
        <w:t>Mortgage</w:t>
      </w:r>
      <w:r w:rsidRPr="00B14662">
        <w:rPr>
          <w:rFonts w:ascii="Tahoma" w:hAnsi="Tahoma" w:cs="Tahoma"/>
          <w:sz w:val="16"/>
          <w:szCs w:val="16"/>
          <w:lang w:val="el-GR"/>
        </w:rPr>
        <w:t xml:space="preserve"> </w:t>
      </w:r>
      <w:r>
        <w:rPr>
          <w:rFonts w:ascii="Tahoma" w:hAnsi="Tahoma" w:cs="Tahoma"/>
          <w:sz w:val="16"/>
          <w:szCs w:val="16"/>
          <w:lang w:val="el-GR"/>
        </w:rPr>
        <w:t xml:space="preserve">Credit </w:t>
      </w:r>
      <w:r>
        <w:rPr>
          <w:rFonts w:ascii="Tahoma" w:hAnsi="Tahoma" w:cs="Tahoma"/>
          <w:sz w:val="16"/>
          <w:szCs w:val="16"/>
          <w:lang w:val="en-GB"/>
        </w:rPr>
        <w:t>Directive</w:t>
      </w:r>
      <w:r>
        <w:rPr>
          <w:rFonts w:ascii="Tahoma" w:hAnsi="Tahoma" w:cs="Tahoma"/>
          <w:sz w:val="16"/>
          <w:szCs w:val="16"/>
          <w:lang w:val="el-G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9C7"/>
    <w:multiLevelType w:val="hybridMultilevel"/>
    <w:tmpl w:val="4650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12DB3"/>
    <w:multiLevelType w:val="hybridMultilevel"/>
    <w:tmpl w:val="C63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015AA"/>
    <w:multiLevelType w:val="hybridMultilevel"/>
    <w:tmpl w:val="BAECA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857C73"/>
    <w:multiLevelType w:val="multilevel"/>
    <w:tmpl w:val="5A8E8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4A63A3"/>
    <w:multiLevelType w:val="multilevel"/>
    <w:tmpl w:val="6B0AB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8A6D93"/>
    <w:multiLevelType w:val="multilevel"/>
    <w:tmpl w:val="DBD04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E217A8"/>
    <w:multiLevelType w:val="hybridMultilevel"/>
    <w:tmpl w:val="5FAC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26752"/>
    <w:multiLevelType w:val="hybridMultilevel"/>
    <w:tmpl w:val="EFB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05976"/>
    <w:multiLevelType w:val="hybridMultilevel"/>
    <w:tmpl w:val="7A8A9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271858441">
    <w:abstractNumId w:val="6"/>
  </w:num>
  <w:num w:numId="2" w16cid:durableId="633877378">
    <w:abstractNumId w:val="8"/>
  </w:num>
  <w:num w:numId="3" w16cid:durableId="594678383">
    <w:abstractNumId w:val="3"/>
  </w:num>
  <w:num w:numId="4" w16cid:durableId="1202134464">
    <w:abstractNumId w:val="4"/>
  </w:num>
  <w:num w:numId="5" w16cid:durableId="290476764">
    <w:abstractNumId w:val="5"/>
  </w:num>
  <w:num w:numId="6" w16cid:durableId="503982515">
    <w:abstractNumId w:val="7"/>
  </w:num>
  <w:num w:numId="7" w16cid:durableId="1651402753">
    <w:abstractNumId w:val="1"/>
  </w:num>
  <w:num w:numId="8" w16cid:durableId="946692723">
    <w:abstractNumId w:val="0"/>
  </w:num>
  <w:num w:numId="9" w16cid:durableId="1059474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6FA"/>
    <w:rsid w:val="00004FE4"/>
    <w:rsid w:val="00006479"/>
    <w:rsid w:val="00042764"/>
    <w:rsid w:val="00043C3E"/>
    <w:rsid w:val="000516CF"/>
    <w:rsid w:val="00063B9D"/>
    <w:rsid w:val="00075ADC"/>
    <w:rsid w:val="00077095"/>
    <w:rsid w:val="00097085"/>
    <w:rsid w:val="000B3B68"/>
    <w:rsid w:val="000C524F"/>
    <w:rsid w:val="000C5CE8"/>
    <w:rsid w:val="000D52FC"/>
    <w:rsid w:val="0010024E"/>
    <w:rsid w:val="00101BC1"/>
    <w:rsid w:val="001131BA"/>
    <w:rsid w:val="0012238F"/>
    <w:rsid w:val="001276DE"/>
    <w:rsid w:val="00130374"/>
    <w:rsid w:val="001455E5"/>
    <w:rsid w:val="00150A7A"/>
    <w:rsid w:val="001512A7"/>
    <w:rsid w:val="00152F56"/>
    <w:rsid w:val="001546D1"/>
    <w:rsid w:val="00162C11"/>
    <w:rsid w:val="001643CD"/>
    <w:rsid w:val="001A2ECB"/>
    <w:rsid w:val="001A38A8"/>
    <w:rsid w:val="001A7B3D"/>
    <w:rsid w:val="001A7D47"/>
    <w:rsid w:val="001B553E"/>
    <w:rsid w:val="001D07D2"/>
    <w:rsid w:val="001D26B6"/>
    <w:rsid w:val="001E0AA6"/>
    <w:rsid w:val="001E105F"/>
    <w:rsid w:val="001F37FE"/>
    <w:rsid w:val="00210D22"/>
    <w:rsid w:val="00213BBA"/>
    <w:rsid w:val="00224118"/>
    <w:rsid w:val="002272F2"/>
    <w:rsid w:val="00230BE3"/>
    <w:rsid w:val="002352AB"/>
    <w:rsid w:val="00260A08"/>
    <w:rsid w:val="00280C10"/>
    <w:rsid w:val="00283D0C"/>
    <w:rsid w:val="00296C1C"/>
    <w:rsid w:val="002A0F52"/>
    <w:rsid w:val="002A4BB4"/>
    <w:rsid w:val="002A6E86"/>
    <w:rsid w:val="002B479E"/>
    <w:rsid w:val="002C51B7"/>
    <w:rsid w:val="002D0705"/>
    <w:rsid w:val="002E06DC"/>
    <w:rsid w:val="002E48CE"/>
    <w:rsid w:val="0030055A"/>
    <w:rsid w:val="00313E00"/>
    <w:rsid w:val="0032406C"/>
    <w:rsid w:val="00327256"/>
    <w:rsid w:val="0035437B"/>
    <w:rsid w:val="00357D7A"/>
    <w:rsid w:val="003650ED"/>
    <w:rsid w:val="00376493"/>
    <w:rsid w:val="00376FEC"/>
    <w:rsid w:val="00391D2A"/>
    <w:rsid w:val="003C719B"/>
    <w:rsid w:val="003D3EAB"/>
    <w:rsid w:val="003E4E9B"/>
    <w:rsid w:val="003E6AE5"/>
    <w:rsid w:val="003F3347"/>
    <w:rsid w:val="003F6F99"/>
    <w:rsid w:val="00401919"/>
    <w:rsid w:val="00403835"/>
    <w:rsid w:val="004072AC"/>
    <w:rsid w:val="00411A5E"/>
    <w:rsid w:val="0041267B"/>
    <w:rsid w:val="0043208E"/>
    <w:rsid w:val="004354CD"/>
    <w:rsid w:val="0044454D"/>
    <w:rsid w:val="00454335"/>
    <w:rsid w:val="004623F3"/>
    <w:rsid w:val="00473F6B"/>
    <w:rsid w:val="004A4F52"/>
    <w:rsid w:val="004A7CC9"/>
    <w:rsid w:val="004B5689"/>
    <w:rsid w:val="004B6077"/>
    <w:rsid w:val="004C2DDB"/>
    <w:rsid w:val="004D76B5"/>
    <w:rsid w:val="004E2A36"/>
    <w:rsid w:val="004F0623"/>
    <w:rsid w:val="004F4B24"/>
    <w:rsid w:val="004F58DE"/>
    <w:rsid w:val="005016D5"/>
    <w:rsid w:val="00505399"/>
    <w:rsid w:val="005077DD"/>
    <w:rsid w:val="00517E45"/>
    <w:rsid w:val="005616FA"/>
    <w:rsid w:val="005621D3"/>
    <w:rsid w:val="00563D60"/>
    <w:rsid w:val="00572DF2"/>
    <w:rsid w:val="005827A5"/>
    <w:rsid w:val="00583B63"/>
    <w:rsid w:val="00584656"/>
    <w:rsid w:val="00592B3A"/>
    <w:rsid w:val="00596C6D"/>
    <w:rsid w:val="005B0EC3"/>
    <w:rsid w:val="005B25E6"/>
    <w:rsid w:val="005B4726"/>
    <w:rsid w:val="005C6B50"/>
    <w:rsid w:val="005D48E2"/>
    <w:rsid w:val="005E0555"/>
    <w:rsid w:val="005E2B5B"/>
    <w:rsid w:val="00607680"/>
    <w:rsid w:val="00624971"/>
    <w:rsid w:val="00661534"/>
    <w:rsid w:val="00665671"/>
    <w:rsid w:val="00690B0A"/>
    <w:rsid w:val="00691655"/>
    <w:rsid w:val="006A253A"/>
    <w:rsid w:val="006A6E99"/>
    <w:rsid w:val="006C4AD6"/>
    <w:rsid w:val="006D5EB1"/>
    <w:rsid w:val="006E202C"/>
    <w:rsid w:val="006F0722"/>
    <w:rsid w:val="006F1369"/>
    <w:rsid w:val="006F1FFF"/>
    <w:rsid w:val="007203D5"/>
    <w:rsid w:val="00723F32"/>
    <w:rsid w:val="00730BFD"/>
    <w:rsid w:val="00733F15"/>
    <w:rsid w:val="00753330"/>
    <w:rsid w:val="00754866"/>
    <w:rsid w:val="0075668B"/>
    <w:rsid w:val="00761A7B"/>
    <w:rsid w:val="007672E0"/>
    <w:rsid w:val="00773618"/>
    <w:rsid w:val="007B4B0C"/>
    <w:rsid w:val="007B668D"/>
    <w:rsid w:val="007D1A42"/>
    <w:rsid w:val="007D5975"/>
    <w:rsid w:val="00807517"/>
    <w:rsid w:val="008163BF"/>
    <w:rsid w:val="00822979"/>
    <w:rsid w:val="00824A0C"/>
    <w:rsid w:val="00825CEB"/>
    <w:rsid w:val="00835944"/>
    <w:rsid w:val="00853BFE"/>
    <w:rsid w:val="00854104"/>
    <w:rsid w:val="008861A2"/>
    <w:rsid w:val="00887721"/>
    <w:rsid w:val="008A4FCB"/>
    <w:rsid w:val="008B23D4"/>
    <w:rsid w:val="008C4436"/>
    <w:rsid w:val="008C4737"/>
    <w:rsid w:val="008F736D"/>
    <w:rsid w:val="009138C0"/>
    <w:rsid w:val="0092404D"/>
    <w:rsid w:val="00931657"/>
    <w:rsid w:val="00991B30"/>
    <w:rsid w:val="00991D34"/>
    <w:rsid w:val="009A033D"/>
    <w:rsid w:val="009A437C"/>
    <w:rsid w:val="009B3FD7"/>
    <w:rsid w:val="009D4768"/>
    <w:rsid w:val="009D726E"/>
    <w:rsid w:val="009E3C83"/>
    <w:rsid w:val="009F3B4F"/>
    <w:rsid w:val="009F442B"/>
    <w:rsid w:val="00A00C57"/>
    <w:rsid w:val="00A060E2"/>
    <w:rsid w:val="00A25463"/>
    <w:rsid w:val="00A27B72"/>
    <w:rsid w:val="00A342C2"/>
    <w:rsid w:val="00A347DA"/>
    <w:rsid w:val="00A432DA"/>
    <w:rsid w:val="00AA2309"/>
    <w:rsid w:val="00AA354C"/>
    <w:rsid w:val="00AA3F76"/>
    <w:rsid w:val="00AB0E5F"/>
    <w:rsid w:val="00AB61F2"/>
    <w:rsid w:val="00AC4351"/>
    <w:rsid w:val="00AC5403"/>
    <w:rsid w:val="00AD4CBA"/>
    <w:rsid w:val="00AF3B5C"/>
    <w:rsid w:val="00B007B1"/>
    <w:rsid w:val="00B14AD2"/>
    <w:rsid w:val="00B2500B"/>
    <w:rsid w:val="00B27825"/>
    <w:rsid w:val="00B55BE4"/>
    <w:rsid w:val="00B741A8"/>
    <w:rsid w:val="00B83230"/>
    <w:rsid w:val="00B95176"/>
    <w:rsid w:val="00B9601E"/>
    <w:rsid w:val="00BA79C7"/>
    <w:rsid w:val="00BB25C5"/>
    <w:rsid w:val="00BB6AF9"/>
    <w:rsid w:val="00C04DC7"/>
    <w:rsid w:val="00C10A67"/>
    <w:rsid w:val="00C116DD"/>
    <w:rsid w:val="00C35877"/>
    <w:rsid w:val="00C35D03"/>
    <w:rsid w:val="00C46D0A"/>
    <w:rsid w:val="00C501D4"/>
    <w:rsid w:val="00C54269"/>
    <w:rsid w:val="00C542D6"/>
    <w:rsid w:val="00C708FB"/>
    <w:rsid w:val="00C976C4"/>
    <w:rsid w:val="00CA4C3E"/>
    <w:rsid w:val="00CA4EBF"/>
    <w:rsid w:val="00CA7E9B"/>
    <w:rsid w:val="00CB1E5C"/>
    <w:rsid w:val="00CF0E23"/>
    <w:rsid w:val="00D7313B"/>
    <w:rsid w:val="00D8397E"/>
    <w:rsid w:val="00DA4852"/>
    <w:rsid w:val="00DC2BFE"/>
    <w:rsid w:val="00DD1E4F"/>
    <w:rsid w:val="00DD1F71"/>
    <w:rsid w:val="00E10A2B"/>
    <w:rsid w:val="00E11968"/>
    <w:rsid w:val="00E13866"/>
    <w:rsid w:val="00E174E8"/>
    <w:rsid w:val="00E2143C"/>
    <w:rsid w:val="00E3602A"/>
    <w:rsid w:val="00E41E36"/>
    <w:rsid w:val="00E640EE"/>
    <w:rsid w:val="00E963F4"/>
    <w:rsid w:val="00EA0870"/>
    <w:rsid w:val="00EA18B6"/>
    <w:rsid w:val="00EA38DE"/>
    <w:rsid w:val="00ED0F87"/>
    <w:rsid w:val="00EE019D"/>
    <w:rsid w:val="00EE566B"/>
    <w:rsid w:val="00EF2AFA"/>
    <w:rsid w:val="00F14192"/>
    <w:rsid w:val="00F1610D"/>
    <w:rsid w:val="00F21947"/>
    <w:rsid w:val="00F34459"/>
    <w:rsid w:val="00F344FC"/>
    <w:rsid w:val="00F40168"/>
    <w:rsid w:val="00F561D5"/>
    <w:rsid w:val="00F57248"/>
    <w:rsid w:val="00F6444D"/>
    <w:rsid w:val="00F74ECA"/>
    <w:rsid w:val="00F83775"/>
    <w:rsid w:val="00F86055"/>
    <w:rsid w:val="00F93055"/>
    <w:rsid w:val="00FA2337"/>
    <w:rsid w:val="00FA23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50AD"/>
  <w15:docId w15:val="{05246031-7AA9-4954-9385-6BEACDB6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D2"/>
    <w:rPr>
      <w:color w:val="0000FF" w:themeColor="hyperlink"/>
      <w:u w:val="single"/>
    </w:rPr>
  </w:style>
  <w:style w:type="paragraph" w:styleId="BalloonText">
    <w:name w:val="Balloon Text"/>
    <w:basedOn w:val="Normal"/>
    <w:link w:val="BalloonTextChar"/>
    <w:uiPriority w:val="99"/>
    <w:semiHidden/>
    <w:unhideWhenUsed/>
    <w:rsid w:val="00C3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77"/>
    <w:rPr>
      <w:rFonts w:ascii="Tahoma" w:hAnsi="Tahoma" w:cs="Tahoma"/>
      <w:sz w:val="16"/>
      <w:szCs w:val="16"/>
    </w:rPr>
  </w:style>
  <w:style w:type="paragraph" w:styleId="ListParagraph">
    <w:name w:val="List Paragraph"/>
    <w:basedOn w:val="Normal"/>
    <w:uiPriority w:val="34"/>
    <w:qFormat/>
    <w:rsid w:val="001A38A8"/>
    <w:pPr>
      <w:ind w:left="720"/>
      <w:contextualSpacing/>
    </w:pPr>
  </w:style>
  <w:style w:type="character" w:styleId="CommentReference">
    <w:name w:val="annotation reference"/>
    <w:basedOn w:val="DefaultParagraphFont"/>
    <w:uiPriority w:val="99"/>
    <w:semiHidden/>
    <w:unhideWhenUsed/>
    <w:rsid w:val="007B4B0C"/>
    <w:rPr>
      <w:sz w:val="16"/>
      <w:szCs w:val="16"/>
    </w:rPr>
  </w:style>
  <w:style w:type="paragraph" w:styleId="CommentText">
    <w:name w:val="annotation text"/>
    <w:basedOn w:val="Normal"/>
    <w:link w:val="CommentTextChar"/>
    <w:uiPriority w:val="99"/>
    <w:semiHidden/>
    <w:unhideWhenUsed/>
    <w:rsid w:val="007B4B0C"/>
    <w:pPr>
      <w:spacing w:line="240" w:lineRule="auto"/>
    </w:pPr>
    <w:rPr>
      <w:sz w:val="20"/>
      <w:szCs w:val="20"/>
    </w:rPr>
  </w:style>
  <w:style w:type="character" w:customStyle="1" w:styleId="CommentTextChar">
    <w:name w:val="Comment Text Char"/>
    <w:basedOn w:val="DefaultParagraphFont"/>
    <w:link w:val="CommentText"/>
    <w:uiPriority w:val="99"/>
    <w:semiHidden/>
    <w:rsid w:val="007B4B0C"/>
    <w:rPr>
      <w:sz w:val="20"/>
      <w:szCs w:val="20"/>
    </w:rPr>
  </w:style>
  <w:style w:type="paragraph" w:styleId="CommentSubject">
    <w:name w:val="annotation subject"/>
    <w:basedOn w:val="CommentText"/>
    <w:next w:val="CommentText"/>
    <w:link w:val="CommentSubjectChar"/>
    <w:uiPriority w:val="99"/>
    <w:semiHidden/>
    <w:unhideWhenUsed/>
    <w:rsid w:val="007B4B0C"/>
    <w:rPr>
      <w:b/>
      <w:bCs/>
    </w:rPr>
  </w:style>
  <w:style w:type="character" w:customStyle="1" w:styleId="CommentSubjectChar">
    <w:name w:val="Comment Subject Char"/>
    <w:basedOn w:val="CommentTextChar"/>
    <w:link w:val="CommentSubject"/>
    <w:uiPriority w:val="99"/>
    <w:semiHidden/>
    <w:rsid w:val="007B4B0C"/>
    <w:rPr>
      <w:b/>
      <w:bCs/>
      <w:sz w:val="20"/>
      <w:szCs w:val="20"/>
    </w:rPr>
  </w:style>
  <w:style w:type="paragraph" w:styleId="FootnoteText">
    <w:name w:val="footnote text"/>
    <w:basedOn w:val="Normal"/>
    <w:link w:val="FootnoteTextChar"/>
    <w:uiPriority w:val="99"/>
    <w:unhideWhenUsed/>
    <w:rsid w:val="00B741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741A8"/>
    <w:rPr>
      <w:rFonts w:ascii="Times New Roman" w:eastAsia="Times New Roman" w:hAnsi="Times New Roman" w:cs="Times New Roman"/>
      <w:sz w:val="20"/>
      <w:szCs w:val="20"/>
    </w:rPr>
  </w:style>
  <w:style w:type="character" w:styleId="FootnoteReference">
    <w:name w:val="footnote reference"/>
    <w:uiPriority w:val="99"/>
    <w:semiHidden/>
    <w:unhideWhenUsed/>
    <w:rsid w:val="00B741A8"/>
    <w:rPr>
      <w:vertAlign w:val="superscript"/>
    </w:rPr>
  </w:style>
  <w:style w:type="table" w:styleId="TableGrid">
    <w:name w:val="Table Grid"/>
    <w:basedOn w:val="TableNormal"/>
    <w:uiPriority w:val="39"/>
    <w:rsid w:val="005E0555"/>
    <w:pPr>
      <w:spacing w:after="0" w:line="240" w:lineRule="auto"/>
    </w:pPr>
    <w:rPr>
      <w:rFonts w:eastAsia="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3208E"/>
    <w:rPr>
      <w:color w:val="605E5C"/>
      <w:shd w:val="clear" w:color="auto" w:fill="E1DFDD"/>
    </w:rPr>
  </w:style>
  <w:style w:type="character" w:styleId="FollowedHyperlink">
    <w:name w:val="FollowedHyperlink"/>
    <w:basedOn w:val="DefaultParagraphFont"/>
    <w:uiPriority w:val="99"/>
    <w:semiHidden/>
    <w:unhideWhenUsed/>
    <w:rsid w:val="00EA18B6"/>
    <w:rPr>
      <w:color w:val="800080" w:themeColor="followedHyperlink"/>
      <w:u w:val="single"/>
    </w:rPr>
  </w:style>
  <w:style w:type="paragraph" w:styleId="Header">
    <w:name w:val="header"/>
    <w:basedOn w:val="Normal"/>
    <w:link w:val="HeaderChar"/>
    <w:uiPriority w:val="99"/>
    <w:unhideWhenUsed/>
    <w:rsid w:val="009A4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37C"/>
  </w:style>
  <w:style w:type="paragraph" w:styleId="Footer">
    <w:name w:val="footer"/>
    <w:basedOn w:val="Normal"/>
    <w:link w:val="FooterChar"/>
    <w:uiPriority w:val="99"/>
    <w:unhideWhenUsed/>
    <w:rsid w:val="009A4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37C"/>
  </w:style>
  <w:style w:type="paragraph" w:styleId="HTMLPreformatted">
    <w:name w:val="HTML Preformatted"/>
    <w:basedOn w:val="Normal"/>
    <w:link w:val="HTMLPreformattedChar"/>
    <w:uiPriority w:val="99"/>
    <w:semiHidden/>
    <w:unhideWhenUsed/>
    <w:rsid w:val="00AD4C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D4CBA"/>
    <w:rPr>
      <w:rFonts w:ascii="Consolas" w:hAnsi="Consolas"/>
      <w:sz w:val="20"/>
      <w:szCs w:val="20"/>
    </w:rPr>
  </w:style>
  <w:style w:type="paragraph" w:styleId="Revision">
    <w:name w:val="Revision"/>
    <w:hidden/>
    <w:uiPriority w:val="99"/>
    <w:semiHidden/>
    <w:rsid w:val="00CA4EBF"/>
    <w:pPr>
      <w:spacing w:after="0" w:line="240" w:lineRule="auto"/>
    </w:pPr>
  </w:style>
  <w:style w:type="character" w:styleId="UnresolvedMention">
    <w:name w:val="Unresolved Mention"/>
    <w:basedOn w:val="DefaultParagraphFont"/>
    <w:uiPriority w:val="99"/>
    <w:semiHidden/>
    <w:unhideWhenUsed/>
    <w:rsid w:val="004F5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0317">
      <w:bodyDiv w:val="1"/>
      <w:marLeft w:val="0"/>
      <w:marRight w:val="0"/>
      <w:marTop w:val="0"/>
      <w:marBottom w:val="0"/>
      <w:divBdr>
        <w:top w:val="none" w:sz="0" w:space="0" w:color="auto"/>
        <w:left w:val="none" w:sz="0" w:space="0" w:color="auto"/>
        <w:bottom w:val="none" w:sz="0" w:space="0" w:color="auto"/>
        <w:right w:val="none" w:sz="0" w:space="0" w:color="auto"/>
      </w:divBdr>
    </w:div>
    <w:div w:id="49235006">
      <w:bodyDiv w:val="1"/>
      <w:marLeft w:val="0"/>
      <w:marRight w:val="0"/>
      <w:marTop w:val="0"/>
      <w:marBottom w:val="0"/>
      <w:divBdr>
        <w:top w:val="none" w:sz="0" w:space="0" w:color="auto"/>
        <w:left w:val="none" w:sz="0" w:space="0" w:color="auto"/>
        <w:bottom w:val="none" w:sz="0" w:space="0" w:color="auto"/>
        <w:right w:val="none" w:sz="0" w:space="0" w:color="auto"/>
      </w:divBdr>
    </w:div>
    <w:div w:id="452141782">
      <w:bodyDiv w:val="1"/>
      <w:marLeft w:val="0"/>
      <w:marRight w:val="0"/>
      <w:marTop w:val="0"/>
      <w:marBottom w:val="0"/>
      <w:divBdr>
        <w:top w:val="none" w:sz="0" w:space="0" w:color="auto"/>
        <w:left w:val="none" w:sz="0" w:space="0" w:color="auto"/>
        <w:bottom w:val="none" w:sz="0" w:space="0" w:color="auto"/>
        <w:right w:val="none" w:sz="0" w:space="0" w:color="auto"/>
      </w:divBdr>
    </w:div>
    <w:div w:id="827747944">
      <w:bodyDiv w:val="1"/>
      <w:marLeft w:val="0"/>
      <w:marRight w:val="0"/>
      <w:marTop w:val="0"/>
      <w:marBottom w:val="0"/>
      <w:divBdr>
        <w:top w:val="none" w:sz="0" w:space="0" w:color="auto"/>
        <w:left w:val="none" w:sz="0" w:space="0" w:color="auto"/>
        <w:bottom w:val="none" w:sz="0" w:space="0" w:color="auto"/>
        <w:right w:val="none" w:sz="0" w:space="0" w:color="auto"/>
      </w:divBdr>
    </w:div>
    <w:div w:id="853037080">
      <w:bodyDiv w:val="1"/>
      <w:marLeft w:val="0"/>
      <w:marRight w:val="0"/>
      <w:marTop w:val="0"/>
      <w:marBottom w:val="0"/>
      <w:divBdr>
        <w:top w:val="none" w:sz="0" w:space="0" w:color="auto"/>
        <w:left w:val="none" w:sz="0" w:space="0" w:color="auto"/>
        <w:bottom w:val="none" w:sz="0" w:space="0" w:color="auto"/>
        <w:right w:val="none" w:sz="0" w:space="0" w:color="auto"/>
      </w:divBdr>
    </w:div>
    <w:div w:id="863976391">
      <w:bodyDiv w:val="1"/>
      <w:marLeft w:val="0"/>
      <w:marRight w:val="0"/>
      <w:marTop w:val="0"/>
      <w:marBottom w:val="0"/>
      <w:divBdr>
        <w:top w:val="none" w:sz="0" w:space="0" w:color="auto"/>
        <w:left w:val="none" w:sz="0" w:space="0" w:color="auto"/>
        <w:bottom w:val="none" w:sz="0" w:space="0" w:color="auto"/>
        <w:right w:val="none" w:sz="0" w:space="0" w:color="auto"/>
      </w:divBdr>
    </w:div>
    <w:div w:id="1153595129">
      <w:bodyDiv w:val="1"/>
      <w:marLeft w:val="0"/>
      <w:marRight w:val="0"/>
      <w:marTop w:val="0"/>
      <w:marBottom w:val="0"/>
      <w:divBdr>
        <w:top w:val="none" w:sz="0" w:space="0" w:color="auto"/>
        <w:left w:val="none" w:sz="0" w:space="0" w:color="auto"/>
        <w:bottom w:val="none" w:sz="0" w:space="0" w:color="auto"/>
        <w:right w:val="none" w:sz="0" w:space="0" w:color="auto"/>
      </w:divBdr>
    </w:div>
    <w:div w:id="1392193622">
      <w:bodyDiv w:val="1"/>
      <w:marLeft w:val="0"/>
      <w:marRight w:val="0"/>
      <w:marTop w:val="0"/>
      <w:marBottom w:val="0"/>
      <w:divBdr>
        <w:top w:val="none" w:sz="0" w:space="0" w:color="auto"/>
        <w:left w:val="none" w:sz="0" w:space="0" w:color="auto"/>
        <w:bottom w:val="none" w:sz="0" w:space="0" w:color="auto"/>
        <w:right w:val="none" w:sz="0" w:space="0" w:color="auto"/>
      </w:divBdr>
    </w:div>
    <w:div w:id="1566910536">
      <w:bodyDiv w:val="1"/>
      <w:marLeft w:val="0"/>
      <w:marRight w:val="0"/>
      <w:marTop w:val="0"/>
      <w:marBottom w:val="0"/>
      <w:divBdr>
        <w:top w:val="none" w:sz="0" w:space="0" w:color="auto"/>
        <w:left w:val="none" w:sz="0" w:space="0" w:color="auto"/>
        <w:bottom w:val="none" w:sz="0" w:space="0" w:color="auto"/>
        <w:right w:val="none" w:sz="0" w:space="0" w:color="auto"/>
      </w:divBdr>
    </w:div>
    <w:div w:id="180993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DAD21-40B2-4278-81D1-750F0310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 Matsi</cp:lastModifiedBy>
  <cp:revision>2</cp:revision>
  <cp:lastPrinted>2023-01-04T10:27:00Z</cp:lastPrinted>
  <dcterms:created xsi:type="dcterms:W3CDTF">2023-01-12T11:14:00Z</dcterms:created>
  <dcterms:modified xsi:type="dcterms:W3CDTF">2023-01-12T11:14:00Z</dcterms:modified>
</cp:coreProperties>
</file>