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4EA1" w14:textId="77777777" w:rsidR="007A2EB7" w:rsidRPr="007A2EB7" w:rsidRDefault="007A2EB7" w:rsidP="007A2EB7">
      <w:pPr>
        <w:jc w:val="center"/>
        <w:rPr>
          <w:rFonts w:eastAsia="Times New Roman"/>
          <w:lang w:val="el-GR" w:eastAsia="en-GB"/>
        </w:rPr>
      </w:pPr>
      <w:r w:rsidRPr="007A2EB7">
        <w:rPr>
          <w:rFonts w:eastAsia="Times New Roman"/>
          <w:lang w:val="el-GR" w:eastAsia="en-GB"/>
        </w:rPr>
        <w:t>ΚΑΝΟΝΙΣΜΟΣ (ΕΕ) 2019/1238 ΤΟΥ ΕΥΡΩΠΑΪΚΟΥ ΚΟΙΝΟΒΟΥΛΙΟΥ ΚΑΙ ΤΟΥ ΣΥΜΒΟΥΛΙΟΥ ΤΗΣ 20</w:t>
      </w:r>
      <w:r w:rsidRPr="007A2EB7">
        <w:rPr>
          <w:rFonts w:eastAsia="Times New Roman"/>
          <w:vertAlign w:val="superscript"/>
          <w:lang w:val="el-GR" w:eastAsia="en-GB"/>
        </w:rPr>
        <w:t>ΗΣ</w:t>
      </w:r>
      <w:r w:rsidRPr="007A2EB7">
        <w:rPr>
          <w:rFonts w:eastAsia="Times New Roman"/>
          <w:lang w:val="el-GR" w:eastAsia="en-GB"/>
        </w:rPr>
        <w:t xml:space="preserve"> ΙΟΥΝΙΟΥ 2019 ΣΧΕΤΙΚΑ ΜΕ ΤΗ ΘΕΣΠΙΣΗ ΠΑΝΕΥΡΩΠΑΪΚΟΥ ΑΤΟΜΙΚΟΥ ΣΥΝΤΑΞΙΟΔΟΤΙΚΟΥ ΠΡΟΪΟΝΤΟΣ (</w:t>
      </w:r>
      <w:r w:rsidRPr="007A2EB7">
        <w:rPr>
          <w:rFonts w:eastAsia="Times New Roman"/>
          <w:lang w:val="en-GB" w:eastAsia="en-GB"/>
        </w:rPr>
        <w:t>PEPP</w:t>
      </w:r>
      <w:r w:rsidRPr="007A2EB7">
        <w:rPr>
          <w:rFonts w:eastAsia="Times New Roman"/>
          <w:lang w:val="el-GR" w:eastAsia="en-GB"/>
        </w:rPr>
        <w:t>)</w:t>
      </w:r>
    </w:p>
    <w:p w14:paraId="19DA543B" w14:textId="77777777" w:rsidR="007A2EB7" w:rsidRPr="007A2EB7" w:rsidRDefault="007A2EB7" w:rsidP="007A2EB7">
      <w:pPr>
        <w:spacing w:after="100"/>
        <w:jc w:val="center"/>
        <w:rPr>
          <w:rFonts w:eastAsia="Times New Roman"/>
          <w:lang w:val="el-GR" w:eastAsia="en-GB"/>
        </w:rPr>
      </w:pPr>
      <w:r w:rsidRPr="007A2EB7">
        <w:rPr>
          <w:rFonts w:eastAsia="Times New Roman"/>
          <w:lang w:val="el-GR" w:eastAsia="en-GB"/>
        </w:rPr>
        <w:t>___________________</w:t>
      </w:r>
    </w:p>
    <w:p w14:paraId="67DE0877" w14:textId="77777777" w:rsidR="007A2EB7" w:rsidRPr="007A2EB7" w:rsidRDefault="007A2EB7" w:rsidP="007A2EB7">
      <w:pPr>
        <w:jc w:val="center"/>
        <w:rPr>
          <w:rFonts w:eastAsia="Times New Roman"/>
          <w:lang w:val="el-GR" w:eastAsia="en-GB"/>
        </w:rPr>
      </w:pPr>
      <w:r w:rsidRPr="007A2EB7">
        <w:rPr>
          <w:rFonts w:eastAsia="Times New Roman"/>
          <w:lang w:val="el-GR" w:eastAsia="en-GB"/>
        </w:rPr>
        <w:t>Διάταγμα δυνάμει των άρθρων 12, 47 και 57</w:t>
      </w:r>
    </w:p>
    <w:p w14:paraId="650B1A4F" w14:textId="3F90BC4D" w:rsidR="0081427E" w:rsidRDefault="0081427E">
      <w:pPr>
        <w:rPr>
          <w:lang w:val="el-GR"/>
        </w:rPr>
      </w:pPr>
    </w:p>
    <w:p w14:paraId="2E94B6B5" w14:textId="6E326785" w:rsidR="007A2EB7" w:rsidRDefault="007A2EB7">
      <w:pPr>
        <w:rPr>
          <w:lang w:val="el-GR"/>
        </w:rPr>
      </w:pPr>
    </w:p>
    <w:tbl>
      <w:tblPr>
        <w:tblW w:w="9918" w:type="dxa"/>
        <w:jc w:val="center"/>
        <w:tblLook w:val="04A0" w:firstRow="1" w:lastRow="0" w:firstColumn="1" w:lastColumn="0" w:noHBand="0" w:noVBand="1"/>
      </w:tblPr>
      <w:tblGrid>
        <w:gridCol w:w="1668"/>
        <w:gridCol w:w="8250"/>
      </w:tblGrid>
      <w:tr w:rsidR="007A2EB7" w:rsidRPr="002C2AD5" w14:paraId="247D08F6" w14:textId="77777777" w:rsidTr="00300554">
        <w:trPr>
          <w:jc w:val="center"/>
        </w:trPr>
        <w:tc>
          <w:tcPr>
            <w:tcW w:w="1668" w:type="dxa"/>
            <w:shd w:val="clear" w:color="auto" w:fill="auto"/>
          </w:tcPr>
          <w:p w14:paraId="6A434084" w14:textId="77777777" w:rsidR="007A2EB7" w:rsidRPr="007A2EB7" w:rsidRDefault="007A2EB7" w:rsidP="00132EFB">
            <w:pPr>
              <w:rPr>
                <w:rFonts w:eastAsia="Times New Roman"/>
                <w:lang w:val="el-GR" w:eastAsia="en-GB"/>
              </w:rPr>
            </w:pPr>
            <w:r w:rsidRPr="007A2EB7">
              <w:rPr>
                <w:rFonts w:eastAsia="Times New Roman"/>
                <w:lang w:val="el-GR" w:eastAsia="en-GB"/>
              </w:rPr>
              <w:t>Προοίμιο.</w:t>
            </w:r>
          </w:p>
        </w:tc>
        <w:tc>
          <w:tcPr>
            <w:tcW w:w="8250" w:type="dxa"/>
            <w:shd w:val="clear" w:color="auto" w:fill="auto"/>
          </w:tcPr>
          <w:p w14:paraId="310EEBE9" w14:textId="77777777" w:rsidR="007A2EB7" w:rsidRPr="007A2EB7" w:rsidRDefault="007A2EB7" w:rsidP="00132EFB">
            <w:pPr>
              <w:jc w:val="both"/>
              <w:rPr>
                <w:bCs/>
                <w:lang w:val="el-GR"/>
              </w:rPr>
            </w:pPr>
          </w:p>
        </w:tc>
      </w:tr>
      <w:tr w:rsidR="007A2EB7" w:rsidRPr="0009627B" w14:paraId="68BB33F5" w14:textId="77777777" w:rsidTr="00300554">
        <w:trPr>
          <w:jc w:val="center"/>
        </w:trPr>
        <w:tc>
          <w:tcPr>
            <w:tcW w:w="1668" w:type="dxa"/>
            <w:shd w:val="clear" w:color="auto" w:fill="auto"/>
          </w:tcPr>
          <w:p w14:paraId="66DE3A2D" w14:textId="77777777" w:rsidR="007A2EB7" w:rsidRPr="007A2EB7" w:rsidRDefault="007A2EB7" w:rsidP="00132EFB">
            <w:pPr>
              <w:rPr>
                <w:bCs/>
                <w:lang w:val="el-GR"/>
              </w:rPr>
            </w:pPr>
            <w:r w:rsidRPr="007A2EB7">
              <w:rPr>
                <w:bCs/>
                <w:lang w:val="el-GR"/>
              </w:rPr>
              <w:t>Επίσημη Εφημερίδα της ΕΕ: L 198,</w:t>
            </w:r>
          </w:p>
          <w:p w14:paraId="766AC3CF" w14:textId="77777777" w:rsidR="007A2EB7" w:rsidRPr="007A2EB7" w:rsidRDefault="007A2EB7" w:rsidP="00132EFB">
            <w:pPr>
              <w:rPr>
                <w:bCs/>
                <w:lang w:val="el-GR"/>
              </w:rPr>
            </w:pPr>
            <w:r w:rsidRPr="007A2EB7">
              <w:rPr>
                <w:bCs/>
                <w:lang w:val="el-GR"/>
              </w:rPr>
              <w:t>25.7.2019,</w:t>
            </w:r>
          </w:p>
          <w:p w14:paraId="78E6D8E0" w14:textId="77777777" w:rsidR="007A2EB7" w:rsidRPr="007A2EB7" w:rsidRDefault="007A2EB7" w:rsidP="00132EFB">
            <w:pPr>
              <w:rPr>
                <w:bCs/>
                <w:lang w:val="el-GR"/>
              </w:rPr>
            </w:pPr>
            <w:r w:rsidRPr="007A2EB7">
              <w:rPr>
                <w:bCs/>
                <w:lang w:val="el-GR"/>
              </w:rPr>
              <w:t>σ.1.</w:t>
            </w:r>
          </w:p>
        </w:tc>
        <w:tc>
          <w:tcPr>
            <w:tcW w:w="8250" w:type="dxa"/>
            <w:shd w:val="clear" w:color="auto" w:fill="auto"/>
          </w:tcPr>
          <w:p w14:paraId="4B1B132B" w14:textId="7CFFA0A1" w:rsidR="007A2EB7" w:rsidRPr="007A2EB7" w:rsidRDefault="007A2EB7" w:rsidP="00132EFB">
            <w:pPr>
              <w:jc w:val="both"/>
              <w:rPr>
                <w:bCs/>
                <w:lang w:val="el-GR"/>
              </w:rPr>
            </w:pPr>
            <w:r w:rsidRPr="007A2EB7">
              <w:rPr>
                <w:bCs/>
                <w:lang w:val="el-GR"/>
              </w:rPr>
              <w:t>Για σκοπούς εναρμόνισης με τα Άρθρα 12, 47 και 57 της πράξης της Ευρωπαϊκής Ένωσης με τίτλο «Κανονισμός (ΕΕ) 2019/1238 του Ευρωπαϊκού Κοινοβουλίου και του Συμβουλίου της 20ης Ιουνίου 2019 σχετικά με τη θέσπιση πανευρωπαϊκού ατομικού συνταξιοδοτικού προϊόντος (PEPP)»∙</w:t>
            </w:r>
          </w:p>
        </w:tc>
      </w:tr>
      <w:tr w:rsidR="007A2EB7" w:rsidRPr="0009627B" w14:paraId="10C9AE4A" w14:textId="77777777" w:rsidTr="00300554">
        <w:trPr>
          <w:jc w:val="center"/>
        </w:trPr>
        <w:tc>
          <w:tcPr>
            <w:tcW w:w="1668" w:type="dxa"/>
            <w:shd w:val="clear" w:color="auto" w:fill="auto"/>
          </w:tcPr>
          <w:p w14:paraId="70C527F3" w14:textId="77777777" w:rsidR="007A2EB7" w:rsidRPr="007A2EB7" w:rsidRDefault="007A2EB7" w:rsidP="00132EFB">
            <w:pPr>
              <w:rPr>
                <w:lang w:val="el-GR"/>
              </w:rPr>
            </w:pPr>
          </w:p>
        </w:tc>
        <w:tc>
          <w:tcPr>
            <w:tcW w:w="8250" w:type="dxa"/>
            <w:shd w:val="clear" w:color="auto" w:fill="auto"/>
          </w:tcPr>
          <w:p w14:paraId="569A8F56" w14:textId="77777777" w:rsidR="007A2EB7" w:rsidRPr="007A2EB7" w:rsidRDefault="007A2EB7" w:rsidP="00132EFB">
            <w:pPr>
              <w:jc w:val="both"/>
              <w:rPr>
                <w:rFonts w:eastAsia="Times New Roman"/>
                <w:lang w:val="el-GR" w:eastAsia="en-GB"/>
              </w:rPr>
            </w:pPr>
            <w:r w:rsidRPr="007A2EB7">
              <w:rPr>
                <w:rFonts w:eastAsia="Times New Roman"/>
                <w:lang w:val="el-GR" w:eastAsia="en-GB"/>
              </w:rPr>
              <w:t xml:space="preserve">Ο Υπουργός Οικονομικών, ασκώντας τις εξουσίες που του χορηγούνται δυνάμει </w:t>
            </w:r>
            <w:r w:rsidRPr="007A2EB7">
              <w:rPr>
                <w:rFonts w:eastAsia="Times New Roman"/>
                <w:bCs/>
                <w:lang w:val="el-GR" w:eastAsia="en-GB"/>
              </w:rPr>
              <w:t xml:space="preserve">των Άρθρων 12, 47 και 57 </w:t>
            </w:r>
            <w:r w:rsidRPr="007A2EB7">
              <w:rPr>
                <w:rFonts w:eastAsia="Times New Roman"/>
                <w:lang w:val="el-GR" w:eastAsia="en-GB"/>
              </w:rPr>
              <w:t>του Κανονισμού (ΕΕ) 2019/1238, εκδίδει το ακόλουθο Διάταγμα:</w:t>
            </w:r>
          </w:p>
          <w:p w14:paraId="0279AC0A" w14:textId="77777777" w:rsidR="007A2EB7" w:rsidRPr="007A2EB7" w:rsidRDefault="007A2EB7" w:rsidP="00132EFB">
            <w:pPr>
              <w:jc w:val="both"/>
              <w:rPr>
                <w:bCs/>
                <w:lang w:val="el-GR"/>
              </w:rPr>
            </w:pPr>
          </w:p>
        </w:tc>
      </w:tr>
      <w:tr w:rsidR="007A2EB7" w:rsidRPr="0009627B" w14:paraId="017843F0" w14:textId="77777777" w:rsidTr="00300554">
        <w:trPr>
          <w:jc w:val="center"/>
        </w:trPr>
        <w:tc>
          <w:tcPr>
            <w:tcW w:w="1668" w:type="dxa"/>
            <w:shd w:val="clear" w:color="auto" w:fill="auto"/>
          </w:tcPr>
          <w:p w14:paraId="242FF845" w14:textId="77777777" w:rsidR="007A2EB7" w:rsidRPr="007A2EB7" w:rsidRDefault="007A2EB7" w:rsidP="00132EFB">
            <w:pPr>
              <w:rPr>
                <w:lang w:val="el-GR"/>
              </w:rPr>
            </w:pPr>
            <w:r w:rsidRPr="007A2EB7">
              <w:rPr>
                <w:rFonts w:eastAsia="Times New Roman"/>
                <w:lang w:eastAsia="en-GB"/>
              </w:rPr>
              <w:t>Συνοπτικός τίτλος.</w:t>
            </w:r>
          </w:p>
        </w:tc>
        <w:tc>
          <w:tcPr>
            <w:tcW w:w="8250" w:type="dxa"/>
            <w:shd w:val="clear" w:color="auto" w:fill="auto"/>
          </w:tcPr>
          <w:p w14:paraId="5F544010" w14:textId="62E277EE" w:rsidR="007A2EB7" w:rsidRPr="007A2EB7" w:rsidRDefault="007A2EB7" w:rsidP="00132EFB">
            <w:pPr>
              <w:jc w:val="both"/>
              <w:rPr>
                <w:rFonts w:eastAsia="Times New Roman"/>
                <w:lang w:val="el-GR" w:eastAsia="en-GB"/>
              </w:rPr>
            </w:pPr>
            <w:r w:rsidRPr="007A2EB7">
              <w:rPr>
                <w:rFonts w:eastAsia="Times New Roman"/>
                <w:lang w:val="el-GR" w:eastAsia="en-GB"/>
              </w:rPr>
              <w:t xml:space="preserve">Το παρόν Διάταγμα θα αναφέρεται ως </w:t>
            </w:r>
            <w:r w:rsidR="00897892">
              <w:rPr>
                <w:rFonts w:eastAsia="Times New Roman"/>
                <w:lang w:val="el-GR" w:eastAsia="en-GB"/>
              </w:rPr>
              <w:t>τ</w:t>
            </w:r>
            <w:r w:rsidRPr="007A2EB7">
              <w:rPr>
                <w:rFonts w:eastAsia="Times New Roman"/>
                <w:lang w:val="el-GR" w:eastAsia="en-GB"/>
              </w:rPr>
              <w:t>ο περί Ρύθμισης Ορισμένων Θεμάτων που απορρέουν από την εφαρμογή του Κανονισμού (ΕΕ) 2019/1236 Διάταγμα του 2022</w:t>
            </w:r>
          </w:p>
          <w:p w14:paraId="3E2A8D37" w14:textId="77777777" w:rsidR="007A2EB7" w:rsidRPr="007A2EB7" w:rsidRDefault="007A2EB7" w:rsidP="00132EFB">
            <w:pPr>
              <w:jc w:val="both"/>
              <w:rPr>
                <w:rFonts w:eastAsia="Times New Roman"/>
                <w:lang w:val="el-GR" w:eastAsia="en-GB"/>
              </w:rPr>
            </w:pPr>
          </w:p>
        </w:tc>
      </w:tr>
    </w:tbl>
    <w:p w14:paraId="1EBA4058" w14:textId="519DFC67" w:rsidR="007A2EB7" w:rsidRDefault="007A2EB7">
      <w:pPr>
        <w:rPr>
          <w:lang w:val="el-GR"/>
        </w:rPr>
      </w:pPr>
    </w:p>
    <w:p w14:paraId="34E8D8C8" w14:textId="63D14792" w:rsidR="007A2EB7" w:rsidRDefault="007A2EB7">
      <w:pPr>
        <w:rPr>
          <w:lang w:val="el-GR"/>
        </w:rPr>
      </w:pPr>
    </w:p>
    <w:tbl>
      <w:tblPr>
        <w:tblStyle w:val="TableGrid"/>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8222"/>
      </w:tblGrid>
      <w:tr w:rsidR="007A2EB7" w:rsidRPr="0009627B" w14:paraId="26588584" w14:textId="77777777" w:rsidTr="00300554">
        <w:tc>
          <w:tcPr>
            <w:tcW w:w="1702" w:type="dxa"/>
          </w:tcPr>
          <w:p w14:paraId="0968A423" w14:textId="52692951" w:rsidR="007A2EB7" w:rsidRPr="007A2EB7" w:rsidRDefault="007A2EB7" w:rsidP="007A2EB7">
            <w:pPr>
              <w:rPr>
                <w:bCs/>
                <w:lang w:val="el-GR"/>
              </w:rPr>
            </w:pPr>
            <w:r w:rsidRPr="007A2EB7">
              <w:rPr>
                <w:bCs/>
                <w:lang w:val="el-GR"/>
              </w:rPr>
              <w:t>Ερμηνεία</w:t>
            </w:r>
            <w:r w:rsidR="0009627B">
              <w:rPr>
                <w:bCs/>
                <w:lang w:val="el-GR"/>
              </w:rPr>
              <w:t>.</w:t>
            </w:r>
          </w:p>
          <w:p w14:paraId="0E6D861E" w14:textId="77777777" w:rsidR="007A2EB7" w:rsidRPr="007A2EB7" w:rsidRDefault="007A2EB7" w:rsidP="007A2EB7">
            <w:pPr>
              <w:rPr>
                <w:bCs/>
                <w:lang w:val="el-GR"/>
              </w:rPr>
            </w:pPr>
          </w:p>
          <w:p w14:paraId="1ABEF79B" w14:textId="77777777" w:rsidR="007A2EB7" w:rsidRPr="007A2EB7" w:rsidRDefault="007A2EB7" w:rsidP="007A2EB7">
            <w:pPr>
              <w:rPr>
                <w:bCs/>
                <w:lang w:val="el-GR"/>
              </w:rPr>
            </w:pPr>
          </w:p>
          <w:p w14:paraId="2B2DAC75" w14:textId="77777777" w:rsidR="007A2EB7" w:rsidRPr="007A2EB7" w:rsidRDefault="007A2EB7" w:rsidP="007A2EB7">
            <w:pPr>
              <w:rPr>
                <w:bCs/>
                <w:lang w:val="el-GR"/>
              </w:rPr>
            </w:pPr>
          </w:p>
          <w:p w14:paraId="114969D2" w14:textId="123DD25C" w:rsidR="007A2EB7" w:rsidRPr="007A2EB7" w:rsidRDefault="007A2EB7" w:rsidP="007A2EB7">
            <w:pPr>
              <w:rPr>
                <w:lang w:val="el-GR"/>
              </w:rPr>
            </w:pPr>
            <w:r w:rsidRPr="007A2EB7">
              <w:rPr>
                <w:bCs/>
                <w:lang w:val="el-GR"/>
              </w:rPr>
              <w:t>Επίσημη Εφημερίδα, Παράρτημα Τρίτο (Ι): 8.11.2020, (</w:t>
            </w:r>
            <w:r w:rsidRPr="007A2EB7">
              <w:rPr>
                <w:rFonts w:ascii="Arial-BoldMT" w:hAnsi="Arial-BoldMT" w:cs="Arial-BoldMT"/>
                <w:bCs/>
                <w:lang w:val="el-GR"/>
              </w:rPr>
              <w:t>Κ.Δ.Π. 420/2022)</w:t>
            </w:r>
          </w:p>
        </w:tc>
        <w:tc>
          <w:tcPr>
            <w:tcW w:w="8222" w:type="dxa"/>
          </w:tcPr>
          <w:p w14:paraId="741002D5" w14:textId="77777777" w:rsidR="007A2EB7" w:rsidRPr="007A2EB7" w:rsidRDefault="007A2EB7" w:rsidP="003B37E4">
            <w:pPr>
              <w:pStyle w:val="ListParagraph"/>
              <w:numPr>
                <w:ilvl w:val="0"/>
                <w:numId w:val="2"/>
              </w:numPr>
              <w:ind w:left="316" w:hanging="283"/>
              <w:jc w:val="both"/>
              <w:rPr>
                <w:rFonts w:ascii="Arial" w:hAnsi="Arial" w:cs="Arial"/>
                <w:sz w:val="20"/>
                <w:szCs w:val="20"/>
              </w:rPr>
            </w:pPr>
            <w:r w:rsidRPr="007A2EB7">
              <w:rPr>
                <w:rFonts w:ascii="Arial" w:hAnsi="Arial" w:cs="Arial"/>
                <w:sz w:val="20"/>
                <w:szCs w:val="20"/>
              </w:rPr>
              <w:t>(α) Στο παρόν Διάταγμα, εκτός εάν από το κείμενο προκύπτει διαφορετική έννοια-</w:t>
            </w:r>
          </w:p>
          <w:p w14:paraId="00BB8DE1" w14:textId="77777777" w:rsidR="007A2EB7" w:rsidRPr="007A2EB7" w:rsidRDefault="007A2EB7" w:rsidP="003B37E4">
            <w:pPr>
              <w:pStyle w:val="ListParagraph"/>
              <w:ind w:left="316"/>
              <w:jc w:val="both"/>
              <w:rPr>
                <w:rFonts w:ascii="Arial" w:hAnsi="Arial" w:cs="Arial"/>
                <w:sz w:val="20"/>
                <w:szCs w:val="20"/>
              </w:rPr>
            </w:pPr>
          </w:p>
          <w:p w14:paraId="2E207C1C" w14:textId="714BB715" w:rsidR="007A2EB7" w:rsidRPr="007A2EB7" w:rsidRDefault="007A2EB7" w:rsidP="003B37E4">
            <w:pPr>
              <w:pStyle w:val="ListParagraph"/>
              <w:ind w:left="316"/>
              <w:jc w:val="both"/>
              <w:rPr>
                <w:rFonts w:ascii="Arial" w:hAnsi="Arial" w:cs="Arial"/>
                <w:sz w:val="20"/>
                <w:szCs w:val="20"/>
              </w:rPr>
            </w:pPr>
            <w:r w:rsidRPr="007A2EB7">
              <w:rPr>
                <w:rFonts w:ascii="Arial" w:hAnsi="Arial" w:cs="Arial"/>
                <w:sz w:val="20"/>
                <w:szCs w:val="20"/>
              </w:rPr>
              <w:t>“Αρμόδια Αρχή” σημαίνει την αρχή που είναι αρμόδια για την εποπτεία του παρόχου PEPP ή του διανομέα PEPP, όπως ορίζεται στη Γνωστοποίηση του Υπουργού Οικονομικών στην Επίσημη Εφημερίδα της Δημοκρατίας·</w:t>
            </w:r>
          </w:p>
          <w:p w14:paraId="2F461983" w14:textId="77777777" w:rsidR="007A2EB7" w:rsidRPr="007A2EB7" w:rsidRDefault="007A2EB7" w:rsidP="003B37E4">
            <w:pPr>
              <w:pStyle w:val="ListParagraph"/>
              <w:ind w:left="316"/>
              <w:jc w:val="both"/>
              <w:rPr>
                <w:rFonts w:ascii="Arial" w:hAnsi="Arial" w:cs="Arial"/>
                <w:sz w:val="20"/>
                <w:szCs w:val="20"/>
              </w:rPr>
            </w:pPr>
          </w:p>
          <w:p w14:paraId="2F4D7A2D" w14:textId="2F6B3DD2" w:rsidR="007A2EB7" w:rsidRPr="007A2EB7" w:rsidRDefault="007A2EB7" w:rsidP="003B37E4">
            <w:pPr>
              <w:pStyle w:val="ListParagraph"/>
              <w:ind w:left="316"/>
              <w:jc w:val="both"/>
              <w:rPr>
                <w:rFonts w:ascii="Arial" w:hAnsi="Arial" w:cs="Arial"/>
                <w:sz w:val="20"/>
                <w:szCs w:val="20"/>
              </w:rPr>
            </w:pPr>
            <w:r w:rsidRPr="007A2EB7">
              <w:rPr>
                <w:rFonts w:ascii="Arial" w:hAnsi="Arial" w:cs="Arial"/>
                <w:sz w:val="20"/>
                <w:szCs w:val="20"/>
              </w:rPr>
              <w:t>“Κανονισμός (ΕΕ) αριθ. 2019/1238” σημαίνει την πράξη της Ευρωπαϊκής Ένωσης με τίτλο “ Κανονισμός (ΕΕ) 2019/1238 του Ευρωπαϊκού Κοινοβουλίου και του Συμβουλίου της 20ής Ιουνίου 2019 σχετικά με τη θέσπιση πανευρωπαϊκού ατομικού συνταξιοδοτικού προϊόντος (PEPP)”</w:t>
            </w:r>
            <w:r w:rsidRPr="003B37E4">
              <w:rPr>
                <w:rFonts w:ascii="Arial" w:hAnsi="Arial" w:cs="Arial"/>
                <w:sz w:val="20"/>
                <w:szCs w:val="20"/>
              </w:rPr>
              <w:t xml:space="preserve"> ·</w:t>
            </w:r>
          </w:p>
          <w:p w14:paraId="32141BAD" w14:textId="77777777" w:rsidR="003B37E4" w:rsidRDefault="003B37E4" w:rsidP="003B37E4">
            <w:pPr>
              <w:pStyle w:val="ListParagraph"/>
              <w:ind w:left="316"/>
              <w:jc w:val="both"/>
              <w:rPr>
                <w:rFonts w:ascii="Arial" w:hAnsi="Arial" w:cs="Arial"/>
                <w:sz w:val="20"/>
                <w:szCs w:val="20"/>
              </w:rPr>
            </w:pPr>
          </w:p>
          <w:p w14:paraId="35BD4FB7" w14:textId="6C988430" w:rsidR="007A2EB7" w:rsidRPr="003B37E4" w:rsidRDefault="007A2EB7" w:rsidP="003B37E4">
            <w:pPr>
              <w:pStyle w:val="ListParagraph"/>
              <w:ind w:left="316"/>
              <w:jc w:val="both"/>
              <w:rPr>
                <w:rFonts w:ascii="Arial" w:hAnsi="Arial" w:cs="Arial"/>
                <w:sz w:val="20"/>
                <w:szCs w:val="20"/>
              </w:rPr>
            </w:pPr>
            <w:r w:rsidRPr="007A2EB7">
              <w:rPr>
                <w:rFonts w:ascii="Arial" w:hAnsi="Arial" w:cs="Arial"/>
                <w:sz w:val="20"/>
                <w:szCs w:val="20"/>
              </w:rPr>
              <w:t>“PEPP” σημαίνει Πανευρωπαϊκό Ατομικό Συνταξιοδοτικό Προϊόν το οποίο ορίζεται από τον Κανονισμό (ΕΕ) 2019/1238</w:t>
            </w:r>
            <w:r w:rsidRPr="003B37E4">
              <w:rPr>
                <w:rFonts w:ascii="Arial" w:hAnsi="Arial" w:cs="Arial"/>
                <w:sz w:val="20"/>
                <w:szCs w:val="20"/>
              </w:rPr>
              <w:t>·</w:t>
            </w:r>
          </w:p>
          <w:p w14:paraId="3E197AC2" w14:textId="72874CA0" w:rsidR="007A2EB7" w:rsidRPr="003B37E4" w:rsidRDefault="007A2EB7" w:rsidP="003B37E4">
            <w:pPr>
              <w:pStyle w:val="ListParagraph"/>
              <w:ind w:left="316"/>
              <w:jc w:val="both"/>
              <w:rPr>
                <w:rFonts w:ascii="Arial" w:hAnsi="Arial" w:cs="Arial"/>
                <w:sz w:val="20"/>
                <w:szCs w:val="20"/>
              </w:rPr>
            </w:pPr>
          </w:p>
          <w:p w14:paraId="74FE48A9" w14:textId="77777777" w:rsidR="007A2EB7" w:rsidRPr="007A2EB7" w:rsidRDefault="007A2EB7" w:rsidP="003B37E4">
            <w:pPr>
              <w:pStyle w:val="ListParagraph"/>
              <w:ind w:left="316"/>
              <w:jc w:val="both"/>
              <w:rPr>
                <w:rFonts w:ascii="Arial" w:hAnsi="Arial" w:cs="Arial"/>
                <w:sz w:val="20"/>
                <w:szCs w:val="20"/>
              </w:rPr>
            </w:pPr>
            <w:r w:rsidRPr="007A2EB7">
              <w:rPr>
                <w:rFonts w:ascii="Arial" w:hAnsi="Arial" w:cs="Arial"/>
                <w:sz w:val="20"/>
                <w:szCs w:val="20"/>
              </w:rPr>
              <w:t>(β) Για σκοπούς του παρόντος Διατάγματος όροι που δεν ορίζονται σε αυτό, εκτός αν προκύπτει διαφορετικά από το κείμενο, έχουν την έννοια την οποία αποδίδει σε αυτούς ο Κανονισμός (ΕΕ) αριθ. 2019/1238.</w:t>
            </w:r>
          </w:p>
          <w:p w14:paraId="5A3671C8" w14:textId="77777777" w:rsidR="007A2EB7" w:rsidRPr="007A2EB7" w:rsidRDefault="007A2EB7" w:rsidP="003B37E4">
            <w:pPr>
              <w:pStyle w:val="ListParagraph"/>
              <w:ind w:left="316"/>
              <w:jc w:val="both"/>
              <w:rPr>
                <w:rFonts w:ascii="Arial" w:hAnsi="Arial" w:cs="Arial"/>
                <w:sz w:val="20"/>
                <w:szCs w:val="20"/>
              </w:rPr>
            </w:pPr>
          </w:p>
          <w:p w14:paraId="29FA5D54" w14:textId="77777777" w:rsidR="007A2EB7" w:rsidRPr="007A2EB7" w:rsidRDefault="007A2EB7" w:rsidP="003B37E4">
            <w:pPr>
              <w:pStyle w:val="ListParagraph"/>
              <w:ind w:left="316"/>
              <w:jc w:val="both"/>
              <w:rPr>
                <w:rFonts w:ascii="Arial" w:hAnsi="Arial" w:cs="Arial"/>
                <w:sz w:val="20"/>
                <w:szCs w:val="20"/>
              </w:rPr>
            </w:pPr>
            <w:r w:rsidRPr="007A2EB7">
              <w:rPr>
                <w:rFonts w:ascii="Arial" w:hAnsi="Arial" w:cs="Arial"/>
                <w:sz w:val="20"/>
                <w:szCs w:val="20"/>
              </w:rPr>
              <w:t>(γ) Στο παρόν Διάταγμα και στις κατευθυντήριες γραμμές που δυνατό να εκδόσουν οι αρμόδιες αρχές, οποιαδήποτε αναφορά σε νομοθετική πράξη της Ευρωπαϊκής Ένωσης, όπως Οδηγία, Κανονισμό ή Απόφαση, σημαίνει την εν λόγω πράξη όπως εκάστοτε διορθώνεται, τροποποιείται ή αντικαθίσταται, εκτός αν από το κείμενο του παρόντος Διατάγματος προκύπτει διαφορετική έννοια.</w:t>
            </w:r>
          </w:p>
          <w:p w14:paraId="04DB232E" w14:textId="77777777" w:rsidR="007A2EB7" w:rsidRPr="007A2EB7" w:rsidRDefault="007A2EB7" w:rsidP="003B37E4">
            <w:pPr>
              <w:pStyle w:val="ListParagraph"/>
              <w:ind w:left="316"/>
              <w:jc w:val="both"/>
              <w:rPr>
                <w:rFonts w:ascii="Arial" w:hAnsi="Arial" w:cs="Arial"/>
                <w:sz w:val="20"/>
                <w:szCs w:val="20"/>
              </w:rPr>
            </w:pPr>
          </w:p>
          <w:p w14:paraId="486D5B68" w14:textId="70C3AB5B" w:rsidR="007A2EB7" w:rsidRPr="007A2EB7" w:rsidRDefault="007A2EB7" w:rsidP="003B37E4">
            <w:pPr>
              <w:pStyle w:val="ListParagraph"/>
              <w:ind w:left="316"/>
              <w:jc w:val="both"/>
              <w:rPr>
                <w:rFonts w:ascii="Arial" w:hAnsi="Arial" w:cs="Arial"/>
                <w:sz w:val="20"/>
                <w:szCs w:val="20"/>
              </w:rPr>
            </w:pPr>
            <w:r w:rsidRPr="007A2EB7">
              <w:rPr>
                <w:rFonts w:ascii="Arial" w:hAnsi="Arial" w:cs="Arial"/>
                <w:sz w:val="20"/>
                <w:szCs w:val="20"/>
              </w:rPr>
              <w:t>(δ) Στο παρόν Διάταγμα και στις κατευθυντήριες γραμμές που δυνατό να εκδόσουν οι αρμόδιες αρχές , οποιαδήποτε αναφορά σε νόμο ή κανονιστική διοικητική πράξη της Δημοκρατίας, σημαίνει τον εν λόγω νόμο ή την εν λόγω κανονιστική διοικητική πράξη όπως εκάστοτε διορθώνεται, τροποποιείται ή αντικαθίσταται, εκτός αν από το κείμενο του παρόντος Διατάγματος προκύπτει διαφορετική έννοια.</w:t>
            </w:r>
          </w:p>
        </w:tc>
      </w:tr>
    </w:tbl>
    <w:p w14:paraId="6EB3A0DA" w14:textId="060BC23D" w:rsidR="007A2EB7" w:rsidRPr="0015459E" w:rsidRDefault="007A2EB7" w:rsidP="007A2EB7">
      <w:pPr>
        <w:rPr>
          <w:lang w:val="el-GR"/>
        </w:rPr>
      </w:pPr>
    </w:p>
    <w:p w14:paraId="0C2762DF" w14:textId="5E08CE24" w:rsidR="003B37E4" w:rsidRPr="0015459E" w:rsidRDefault="003B37E4" w:rsidP="007A2EB7">
      <w:pPr>
        <w:rPr>
          <w:lang w:val="el-GR"/>
        </w:rPr>
      </w:pPr>
    </w:p>
    <w:tbl>
      <w:tblPr>
        <w:tblStyle w:val="TableGrid"/>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227"/>
      </w:tblGrid>
      <w:tr w:rsidR="003B37E4" w:rsidRPr="0009627B" w14:paraId="5039E71E" w14:textId="77777777" w:rsidTr="00300554">
        <w:trPr>
          <w:jc w:val="center"/>
        </w:trPr>
        <w:tc>
          <w:tcPr>
            <w:tcW w:w="1843" w:type="dxa"/>
          </w:tcPr>
          <w:p w14:paraId="01615B39" w14:textId="77777777" w:rsidR="003B37E4" w:rsidRDefault="003B37E4" w:rsidP="003B37E4">
            <w:r w:rsidRPr="00603634">
              <w:t>Αντικείμενο του παρόντος Διατάγματος.</w:t>
            </w:r>
          </w:p>
          <w:p w14:paraId="1BF2011C" w14:textId="27D71585" w:rsidR="003B37E4" w:rsidRDefault="003B37E4" w:rsidP="003B37E4">
            <w:pPr>
              <w:rPr>
                <w:lang w:val="en-GB"/>
              </w:rPr>
            </w:pPr>
          </w:p>
        </w:tc>
        <w:tc>
          <w:tcPr>
            <w:tcW w:w="8227" w:type="dxa"/>
          </w:tcPr>
          <w:p w14:paraId="2E215801" w14:textId="1DC14F2C" w:rsidR="003B37E4" w:rsidRPr="003B37E4" w:rsidRDefault="003B37E4" w:rsidP="003B37E4">
            <w:pPr>
              <w:pStyle w:val="ListParagraph"/>
              <w:numPr>
                <w:ilvl w:val="0"/>
                <w:numId w:val="2"/>
              </w:numPr>
              <w:ind w:left="316" w:hanging="283"/>
              <w:jc w:val="both"/>
            </w:pPr>
            <w:r w:rsidRPr="003B37E4">
              <w:rPr>
                <w:rFonts w:ascii="Arial" w:hAnsi="Arial" w:cs="Arial"/>
                <w:sz w:val="20"/>
                <w:szCs w:val="20"/>
              </w:rPr>
              <w:lastRenderedPageBreak/>
              <w:t>Σκοπός του παρόντος Διατάγματος είναι η θέσπιση όρων που αφορούν τη φάση συσσώρευσης και τη φάση αποσυσσώρευσης των εθνικών υπολογαριασμών PEPP.</w:t>
            </w:r>
          </w:p>
        </w:tc>
      </w:tr>
      <w:tr w:rsidR="003B37E4" w:rsidRPr="0009627B" w14:paraId="441C4663" w14:textId="77777777" w:rsidTr="00300554">
        <w:trPr>
          <w:jc w:val="center"/>
        </w:trPr>
        <w:tc>
          <w:tcPr>
            <w:tcW w:w="1843" w:type="dxa"/>
          </w:tcPr>
          <w:p w14:paraId="5864520C" w14:textId="5E86D006" w:rsidR="003B37E4" w:rsidRDefault="003B37E4" w:rsidP="003B37E4">
            <w:pPr>
              <w:rPr>
                <w:lang w:val="en-GB"/>
              </w:rPr>
            </w:pPr>
            <w:r w:rsidRPr="00603634">
              <w:t>Πεδίο Εφαρμογής του Διατάγματος.</w:t>
            </w:r>
          </w:p>
        </w:tc>
        <w:tc>
          <w:tcPr>
            <w:tcW w:w="8227" w:type="dxa"/>
          </w:tcPr>
          <w:p w14:paraId="1BAC82A2" w14:textId="694114F0" w:rsidR="003B37E4" w:rsidRPr="003B37E4" w:rsidRDefault="003B37E4" w:rsidP="003B37E4">
            <w:pPr>
              <w:pStyle w:val="ListParagraph"/>
              <w:numPr>
                <w:ilvl w:val="0"/>
                <w:numId w:val="2"/>
              </w:numPr>
              <w:ind w:left="316" w:hanging="283"/>
              <w:jc w:val="both"/>
            </w:pPr>
            <w:r w:rsidRPr="003B37E4">
              <w:rPr>
                <w:rFonts w:ascii="Arial" w:hAnsi="Arial" w:cs="Arial"/>
                <w:sz w:val="20"/>
                <w:szCs w:val="20"/>
              </w:rPr>
              <w:t xml:space="preserve">Το παρόν Διάταγμα εφαρμόζεται σε όλα τα εγγεγραμμένα PEPP στη </w:t>
            </w:r>
            <w:r>
              <w:rPr>
                <w:rFonts w:ascii="Arial" w:hAnsi="Arial" w:cs="Arial"/>
                <w:sz w:val="20"/>
                <w:szCs w:val="20"/>
              </w:rPr>
              <w:t>Δημοκρατία</w:t>
            </w:r>
            <w:r w:rsidRPr="003B37E4">
              <w:rPr>
                <w:rFonts w:ascii="Arial" w:hAnsi="Arial" w:cs="Arial"/>
                <w:sz w:val="20"/>
                <w:szCs w:val="20"/>
              </w:rPr>
              <w:t xml:space="preserve"> και στα PEPP με υπολογαριασμούς στη Δημοκρατία.</w:t>
            </w:r>
            <w:r w:rsidRPr="003B37E4">
              <w:t xml:space="preserve"> </w:t>
            </w:r>
          </w:p>
        </w:tc>
      </w:tr>
    </w:tbl>
    <w:p w14:paraId="12D91FB6" w14:textId="5B9A6670" w:rsidR="003B37E4" w:rsidRDefault="003B37E4" w:rsidP="007A2EB7">
      <w:pPr>
        <w:rPr>
          <w:lang w:val="el-GR"/>
        </w:rPr>
      </w:pPr>
    </w:p>
    <w:p w14:paraId="4D58D05F" w14:textId="071AD34B" w:rsidR="003B37E4" w:rsidRDefault="003B37E4" w:rsidP="003B37E4">
      <w:pPr>
        <w:jc w:val="center"/>
        <w:rPr>
          <w:b/>
          <w:lang w:val="el-GR"/>
        </w:rPr>
      </w:pPr>
      <w:r w:rsidRPr="003B37E4">
        <w:rPr>
          <w:b/>
          <w:lang w:val="el-GR"/>
        </w:rPr>
        <w:t>ΦΑΣΗ ΣΥΣΣΩΡΕΥΣΗΣ</w:t>
      </w:r>
    </w:p>
    <w:p w14:paraId="2B28A36A" w14:textId="5111D1B4" w:rsidR="003B37E4" w:rsidRDefault="003B37E4" w:rsidP="003B37E4">
      <w:pPr>
        <w:jc w:val="center"/>
        <w:rPr>
          <w:b/>
          <w:lang w:val="el-GR"/>
        </w:rPr>
      </w:pP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63"/>
      </w:tblGrid>
      <w:tr w:rsidR="003B37E4" w:rsidRPr="0009627B" w14:paraId="3300D11E" w14:textId="77777777" w:rsidTr="00300554">
        <w:tc>
          <w:tcPr>
            <w:tcW w:w="1843" w:type="dxa"/>
          </w:tcPr>
          <w:p w14:paraId="2559B7D5" w14:textId="27AFDD52" w:rsidR="003B37E4" w:rsidRDefault="003B37E4" w:rsidP="003B37E4">
            <w:pPr>
              <w:rPr>
                <w:lang w:val="el-GR"/>
              </w:rPr>
            </w:pPr>
            <w:r w:rsidRPr="006C38F1">
              <w:rPr>
                <w:lang w:val="el-GR"/>
              </w:rPr>
              <w:t xml:space="preserve">Υπολογαριασμοί του </w:t>
            </w:r>
            <w:r w:rsidRPr="006C38F1">
              <w:t>PEPP</w:t>
            </w:r>
            <w:r>
              <w:t>.</w:t>
            </w:r>
          </w:p>
        </w:tc>
        <w:tc>
          <w:tcPr>
            <w:tcW w:w="8363" w:type="dxa"/>
          </w:tcPr>
          <w:p w14:paraId="5298436D" w14:textId="3C9360C2" w:rsidR="003B37E4" w:rsidRPr="003B37E4" w:rsidRDefault="003B37E4" w:rsidP="003B37E4">
            <w:pPr>
              <w:pStyle w:val="ListParagraph"/>
              <w:numPr>
                <w:ilvl w:val="0"/>
                <w:numId w:val="2"/>
              </w:numPr>
              <w:ind w:left="316" w:hanging="283"/>
              <w:jc w:val="both"/>
              <w:rPr>
                <w:rFonts w:ascii="Arial" w:hAnsi="Arial" w:cs="Arial"/>
                <w:sz w:val="20"/>
                <w:szCs w:val="20"/>
              </w:rPr>
            </w:pPr>
            <w:r w:rsidRPr="003B37E4">
              <w:rPr>
                <w:rFonts w:ascii="Arial" w:hAnsi="Arial" w:cs="Arial"/>
                <w:sz w:val="20"/>
                <w:szCs w:val="20"/>
              </w:rPr>
              <w:t>Σε περίπτωση που οι πάροχοι PEPP παρέχουν υπηρεσία δυνατότητας μεταφοράς στους αποταμιευτές PEPP, οι πάροχοι PEPP διασφαλίζουν ότι, όταν ανοίγει νέος υπολογαριασμός σε λογαριασμό PEPP, αυτός ανταποκρίνεται στις νομικές απαιτήσεις και προϋποθέσεις του παρόντος Διατάγματος, για το PEPP από το νέο κράτος μέλος διαμονής του αποταμιευτή PEPP. Όλες οι συναλλαγές στον λογαριασμό PEPP καταχωρίζονται σε αντίστοιχο υπολογαριασμό. Οι εισφορές που καταβάλλονται στον υπολογαριασμό και οι αναλήψεις από αυτόν μπορούν να υπόκεινται σε χωριστούς συμβατικούς όρους.</w:t>
            </w:r>
          </w:p>
          <w:p w14:paraId="7DEE1DF9" w14:textId="365F8204" w:rsidR="003B37E4" w:rsidRDefault="003B37E4" w:rsidP="003B37E4">
            <w:pPr>
              <w:tabs>
                <w:tab w:val="left" w:pos="751"/>
              </w:tabs>
              <w:rPr>
                <w:lang w:val="el-GR"/>
              </w:rPr>
            </w:pPr>
          </w:p>
        </w:tc>
      </w:tr>
      <w:tr w:rsidR="003B37E4" w:rsidRPr="0009627B" w14:paraId="47D336AD" w14:textId="77777777" w:rsidTr="00300554">
        <w:tc>
          <w:tcPr>
            <w:tcW w:w="1843" w:type="dxa"/>
          </w:tcPr>
          <w:p w14:paraId="678E1DA3" w14:textId="77777777" w:rsidR="003B37E4" w:rsidRDefault="003B37E4" w:rsidP="003B37E4">
            <w:pPr>
              <w:rPr>
                <w:lang w:val="el-GR"/>
              </w:rPr>
            </w:pPr>
            <w:r w:rsidRPr="006C38F1">
              <w:rPr>
                <w:lang w:val="el-GR"/>
              </w:rPr>
              <w:t>Όριο ηλικίας για την έναρξη της φάσης συσσώρευσης.</w:t>
            </w:r>
          </w:p>
          <w:p w14:paraId="416348E2" w14:textId="5EDD36D9" w:rsidR="003B37E4" w:rsidRDefault="003B37E4" w:rsidP="003B37E4">
            <w:pPr>
              <w:rPr>
                <w:lang w:val="el-GR"/>
              </w:rPr>
            </w:pPr>
          </w:p>
        </w:tc>
        <w:tc>
          <w:tcPr>
            <w:tcW w:w="8363" w:type="dxa"/>
          </w:tcPr>
          <w:p w14:paraId="311A23C7" w14:textId="713D7C7A" w:rsidR="003B37E4" w:rsidRPr="003B37E4" w:rsidRDefault="003B37E4" w:rsidP="003B37E4">
            <w:pPr>
              <w:pStyle w:val="ListParagraph"/>
              <w:numPr>
                <w:ilvl w:val="0"/>
                <w:numId w:val="2"/>
              </w:numPr>
              <w:ind w:left="316" w:hanging="283"/>
              <w:jc w:val="both"/>
              <w:rPr>
                <w:rFonts w:ascii="Arial" w:hAnsi="Arial" w:cs="Arial"/>
                <w:sz w:val="20"/>
                <w:szCs w:val="20"/>
              </w:rPr>
            </w:pPr>
            <w:r w:rsidRPr="003B37E4">
              <w:rPr>
                <w:rFonts w:ascii="Arial" w:hAnsi="Arial" w:cs="Arial"/>
                <w:sz w:val="20"/>
                <w:szCs w:val="20"/>
              </w:rPr>
              <w:t>Το κατώτατο όριο ηλικίας για την έναρξη της φάσης συσσώρευσης σε ένα PEPP, είναι το 18</w:t>
            </w:r>
            <w:r w:rsidRPr="003B37E4">
              <w:rPr>
                <w:rFonts w:ascii="Arial" w:hAnsi="Arial" w:cs="Arial"/>
                <w:sz w:val="20"/>
                <w:szCs w:val="20"/>
                <w:vertAlign w:val="superscript"/>
              </w:rPr>
              <w:t>ο</w:t>
            </w:r>
            <w:r>
              <w:rPr>
                <w:rFonts w:ascii="Arial" w:hAnsi="Arial" w:cs="Arial"/>
                <w:sz w:val="20"/>
                <w:szCs w:val="20"/>
              </w:rPr>
              <w:t xml:space="preserve"> </w:t>
            </w:r>
            <w:r w:rsidRPr="003B37E4">
              <w:rPr>
                <w:rFonts w:ascii="Arial" w:hAnsi="Arial" w:cs="Arial"/>
                <w:sz w:val="20"/>
                <w:szCs w:val="20"/>
              </w:rPr>
              <w:t>έτος.</w:t>
            </w:r>
          </w:p>
          <w:p w14:paraId="18EFEFE7" w14:textId="77777777" w:rsidR="003B37E4" w:rsidRDefault="003B37E4" w:rsidP="003B37E4">
            <w:pPr>
              <w:jc w:val="center"/>
              <w:rPr>
                <w:lang w:val="el-GR"/>
              </w:rPr>
            </w:pPr>
          </w:p>
        </w:tc>
      </w:tr>
      <w:tr w:rsidR="00722863" w:rsidRPr="0009627B" w14:paraId="65928561" w14:textId="77777777" w:rsidTr="00300554">
        <w:tc>
          <w:tcPr>
            <w:tcW w:w="1843" w:type="dxa"/>
          </w:tcPr>
          <w:p w14:paraId="5B8C99A2" w14:textId="77777777" w:rsidR="00722863" w:rsidRDefault="00722863" w:rsidP="00722863">
            <w:pPr>
              <w:rPr>
                <w:lang w:val="el-GR"/>
              </w:rPr>
            </w:pPr>
            <w:r w:rsidRPr="00033584">
              <w:rPr>
                <w:lang w:val="el-GR"/>
              </w:rPr>
              <w:t>Περιορισμός για την ηλικία ένταξης</w:t>
            </w:r>
            <w:r>
              <w:rPr>
                <w:lang w:val="el-GR"/>
              </w:rPr>
              <w:t>.</w:t>
            </w:r>
          </w:p>
          <w:p w14:paraId="067A5617" w14:textId="41A11417" w:rsidR="00722863" w:rsidRPr="006C38F1" w:rsidRDefault="00722863" w:rsidP="00722863">
            <w:pPr>
              <w:rPr>
                <w:lang w:val="el-GR"/>
              </w:rPr>
            </w:pPr>
          </w:p>
        </w:tc>
        <w:tc>
          <w:tcPr>
            <w:tcW w:w="8363" w:type="dxa"/>
          </w:tcPr>
          <w:p w14:paraId="1E4559CB" w14:textId="22EA081B" w:rsidR="00722863" w:rsidRPr="00722863" w:rsidRDefault="00722863" w:rsidP="00722863">
            <w:pPr>
              <w:pStyle w:val="ListParagraph"/>
              <w:numPr>
                <w:ilvl w:val="0"/>
                <w:numId w:val="2"/>
              </w:numPr>
              <w:ind w:left="316" w:hanging="283"/>
              <w:jc w:val="both"/>
            </w:pPr>
            <w:r w:rsidRPr="00722863">
              <w:rPr>
                <w:rFonts w:ascii="Arial" w:hAnsi="Arial" w:cs="Arial"/>
                <w:sz w:val="20"/>
                <w:szCs w:val="20"/>
              </w:rPr>
              <w:t>Κανένα πρόσωπο δεν μπορεί να καταστεί αποταμιευτής PEPP, εάν η ηλικία του απέχει λιγότερο από πέντε (5) έτη από την ηλικία που αναφέρεται στο εδάφιο (1) του άρθρου 10.</w:t>
            </w:r>
          </w:p>
        </w:tc>
      </w:tr>
      <w:tr w:rsidR="003B37E4" w:rsidRPr="0009627B" w14:paraId="11B74B0D" w14:textId="77777777" w:rsidTr="00300554">
        <w:tc>
          <w:tcPr>
            <w:tcW w:w="1843" w:type="dxa"/>
          </w:tcPr>
          <w:p w14:paraId="71FD241F" w14:textId="77777777" w:rsidR="003B37E4" w:rsidRDefault="003B37E4" w:rsidP="003B37E4">
            <w:pPr>
              <w:jc w:val="both"/>
              <w:rPr>
                <w:lang w:val="el-GR"/>
              </w:rPr>
            </w:pPr>
            <w:r w:rsidRPr="006C38F1">
              <w:rPr>
                <w:lang w:val="el-GR"/>
              </w:rPr>
              <w:t xml:space="preserve">Φορολογικός χειρισμός εισφορών. </w:t>
            </w:r>
          </w:p>
          <w:p w14:paraId="175FB75E" w14:textId="77777777" w:rsidR="003B37E4" w:rsidRDefault="003B37E4" w:rsidP="003B37E4">
            <w:pPr>
              <w:numPr>
                <w:ilvl w:val="0"/>
                <w:numId w:val="3"/>
              </w:numPr>
              <w:spacing w:before="100" w:beforeAutospacing="1" w:after="100" w:afterAutospacing="1" w:line="276" w:lineRule="auto"/>
              <w:ind w:left="0"/>
              <w:rPr>
                <w:rFonts w:eastAsia="Times New Roman" w:cstheme="minorHAnsi"/>
                <w:bCs/>
                <w:color w:val="000000"/>
                <w:lang w:val="en-US"/>
              </w:rPr>
            </w:pPr>
            <w:r w:rsidRPr="00E906E9">
              <w:rPr>
                <w:rFonts w:eastAsia="Times New Roman" w:cstheme="minorHAnsi"/>
                <w:bCs/>
                <w:color w:val="000000"/>
                <w:lang w:val="en-US"/>
              </w:rPr>
              <w:t>118(I)/2002</w:t>
            </w:r>
          </w:p>
          <w:p w14:paraId="4E0A5F99" w14:textId="77777777" w:rsidR="003B37E4" w:rsidRDefault="003B37E4" w:rsidP="003B37E4">
            <w:pPr>
              <w:numPr>
                <w:ilvl w:val="0"/>
                <w:numId w:val="3"/>
              </w:numPr>
              <w:spacing w:before="100" w:beforeAutospacing="1" w:after="100" w:afterAutospacing="1" w:line="276" w:lineRule="auto"/>
              <w:ind w:left="0"/>
              <w:rPr>
                <w:rFonts w:eastAsia="Times New Roman" w:cstheme="minorHAnsi"/>
                <w:color w:val="000000"/>
                <w:lang w:val="en-US"/>
              </w:rPr>
            </w:pPr>
            <w:r w:rsidRPr="00E906E9">
              <w:rPr>
                <w:rFonts w:eastAsia="Times New Roman" w:cstheme="minorHAnsi"/>
                <w:color w:val="000000"/>
                <w:lang w:val="en-US"/>
              </w:rPr>
              <w:t>230(I)/2002</w:t>
            </w:r>
          </w:p>
          <w:p w14:paraId="7F02513C" w14:textId="77777777" w:rsidR="003B37E4" w:rsidRDefault="003B37E4" w:rsidP="003B37E4">
            <w:pPr>
              <w:numPr>
                <w:ilvl w:val="0"/>
                <w:numId w:val="3"/>
              </w:numPr>
              <w:spacing w:before="100" w:beforeAutospacing="1" w:after="100" w:afterAutospacing="1" w:line="276" w:lineRule="auto"/>
              <w:ind w:left="0"/>
              <w:rPr>
                <w:rFonts w:eastAsia="Times New Roman" w:cstheme="minorHAnsi"/>
                <w:color w:val="000000"/>
                <w:lang w:val="en-US"/>
              </w:rPr>
            </w:pPr>
            <w:r w:rsidRPr="00E906E9">
              <w:rPr>
                <w:rFonts w:eastAsia="Times New Roman" w:cstheme="minorHAnsi"/>
                <w:color w:val="000000"/>
                <w:lang w:val="en-US"/>
              </w:rPr>
              <w:t>162(I)/2003</w:t>
            </w:r>
          </w:p>
          <w:p w14:paraId="16F37724" w14:textId="77777777" w:rsidR="003B37E4" w:rsidRDefault="003B37E4" w:rsidP="003B37E4">
            <w:pPr>
              <w:numPr>
                <w:ilvl w:val="0"/>
                <w:numId w:val="3"/>
              </w:numPr>
              <w:spacing w:before="100" w:beforeAutospacing="1" w:after="100" w:afterAutospacing="1" w:line="276" w:lineRule="auto"/>
              <w:ind w:left="0"/>
              <w:rPr>
                <w:rFonts w:eastAsia="Times New Roman" w:cstheme="minorHAnsi"/>
                <w:color w:val="000000"/>
                <w:lang w:val="en-US"/>
              </w:rPr>
            </w:pPr>
            <w:r w:rsidRPr="00E906E9">
              <w:rPr>
                <w:rFonts w:eastAsia="Times New Roman" w:cstheme="minorHAnsi"/>
                <w:color w:val="000000"/>
                <w:lang w:val="en-US"/>
              </w:rPr>
              <w:t>195(I)/2004</w:t>
            </w:r>
          </w:p>
          <w:p w14:paraId="152E5BCD" w14:textId="77777777" w:rsidR="003B37E4" w:rsidRDefault="003B37E4" w:rsidP="003B37E4">
            <w:pPr>
              <w:numPr>
                <w:ilvl w:val="0"/>
                <w:numId w:val="3"/>
              </w:numPr>
              <w:spacing w:before="100" w:beforeAutospacing="1" w:after="100" w:afterAutospacing="1" w:line="276" w:lineRule="auto"/>
              <w:ind w:left="0"/>
              <w:rPr>
                <w:rFonts w:eastAsia="Times New Roman" w:cstheme="minorHAnsi"/>
                <w:color w:val="000000"/>
                <w:lang w:val="en-US"/>
              </w:rPr>
            </w:pPr>
            <w:r w:rsidRPr="00E906E9">
              <w:rPr>
                <w:rFonts w:eastAsia="Times New Roman" w:cstheme="minorHAnsi"/>
                <w:color w:val="000000"/>
                <w:lang w:val="en-US"/>
              </w:rPr>
              <w:t>92(I)/2005</w:t>
            </w:r>
          </w:p>
          <w:p w14:paraId="2E847209" w14:textId="77777777" w:rsidR="003B37E4" w:rsidRDefault="003B37E4" w:rsidP="003B37E4">
            <w:pPr>
              <w:numPr>
                <w:ilvl w:val="0"/>
                <w:numId w:val="3"/>
              </w:numPr>
              <w:spacing w:before="100" w:beforeAutospacing="1" w:after="100" w:afterAutospacing="1" w:line="276" w:lineRule="auto"/>
              <w:ind w:left="0"/>
              <w:rPr>
                <w:rFonts w:eastAsia="Times New Roman" w:cstheme="minorHAnsi"/>
                <w:color w:val="000000"/>
                <w:lang w:val="en-US"/>
              </w:rPr>
            </w:pPr>
            <w:r w:rsidRPr="00E906E9">
              <w:rPr>
                <w:rFonts w:eastAsia="Times New Roman" w:cstheme="minorHAnsi"/>
                <w:color w:val="000000"/>
                <w:lang w:val="en-US"/>
              </w:rPr>
              <w:t>113(I)/2006</w:t>
            </w:r>
          </w:p>
          <w:p w14:paraId="2A177D57" w14:textId="77777777" w:rsidR="003B37E4" w:rsidRDefault="003B37E4" w:rsidP="003B37E4">
            <w:pPr>
              <w:numPr>
                <w:ilvl w:val="0"/>
                <w:numId w:val="3"/>
              </w:numPr>
              <w:spacing w:before="100" w:beforeAutospacing="1" w:after="100" w:afterAutospacing="1" w:line="276" w:lineRule="auto"/>
              <w:ind w:left="0"/>
              <w:rPr>
                <w:rFonts w:eastAsia="Times New Roman" w:cstheme="minorHAnsi"/>
                <w:color w:val="000000"/>
                <w:sz w:val="25"/>
                <w:szCs w:val="25"/>
                <w:lang w:val="en-US"/>
              </w:rPr>
            </w:pPr>
            <w:r w:rsidRPr="00E906E9">
              <w:rPr>
                <w:rFonts w:eastAsia="Times New Roman" w:cstheme="minorHAnsi"/>
                <w:color w:val="000000"/>
                <w:lang w:val="en-US"/>
              </w:rPr>
              <w:t>80(I)/2007</w:t>
            </w:r>
          </w:p>
          <w:p w14:paraId="623043AD"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138(I)/2007</w:t>
            </w:r>
          </w:p>
          <w:p w14:paraId="70A13237"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32(I)/2009</w:t>
            </w:r>
          </w:p>
          <w:p w14:paraId="7310572C"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45(I)/2009</w:t>
            </w:r>
          </w:p>
          <w:p w14:paraId="54ED221A"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74(I)/2009</w:t>
            </w:r>
          </w:p>
          <w:p w14:paraId="284227AC"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110(I)/2009</w:t>
            </w:r>
          </w:p>
          <w:p w14:paraId="0CF8BE5D"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41(I)/2010</w:t>
            </w:r>
          </w:p>
          <w:p w14:paraId="3DABB733"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133(I)/2010</w:t>
            </w:r>
          </w:p>
          <w:p w14:paraId="7F9FE8F4"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116(I)/2011</w:t>
            </w:r>
          </w:p>
          <w:p w14:paraId="34B8D925"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197(I)/2011</w:t>
            </w:r>
          </w:p>
          <w:p w14:paraId="326F27B3"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102(I)/2012</w:t>
            </w:r>
          </w:p>
          <w:p w14:paraId="6D52CDE6"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188(Ι)/2012</w:t>
            </w:r>
          </w:p>
          <w:p w14:paraId="1CB1E286"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19(Ι)/2013</w:t>
            </w:r>
          </w:p>
          <w:p w14:paraId="6F4BECCB"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26(I)/2013</w:t>
            </w:r>
          </w:p>
          <w:p w14:paraId="4EC817D7"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27(I)/2013</w:t>
            </w:r>
          </w:p>
          <w:p w14:paraId="6D4762C0"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17(Ι)/2014</w:t>
            </w:r>
          </w:p>
          <w:p w14:paraId="66A4632C"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115(Ι)/2014</w:t>
            </w:r>
          </w:p>
          <w:p w14:paraId="4B7D7FE7"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134(Ι)/2014</w:t>
            </w:r>
          </w:p>
          <w:p w14:paraId="28A0907E"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lastRenderedPageBreak/>
              <w:t>170(Ι)/2014</w:t>
            </w:r>
          </w:p>
          <w:p w14:paraId="32D407DE"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116(I)/2015</w:t>
            </w:r>
          </w:p>
          <w:p w14:paraId="0B3E9E2D"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187(I)/2015</w:t>
            </w:r>
          </w:p>
          <w:p w14:paraId="7C46E59B"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212(Ι)/2015</w:t>
            </w:r>
          </w:p>
          <w:p w14:paraId="46E37387"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110(I)/2016</w:t>
            </w:r>
          </w:p>
          <w:p w14:paraId="1ED3E493"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135(I)/2016</w:t>
            </w:r>
          </w:p>
          <w:p w14:paraId="41F4AFC6"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119(I)/2017</w:t>
            </w:r>
          </w:p>
          <w:p w14:paraId="630806A2"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134(I)/2017</w:t>
            </w:r>
          </w:p>
          <w:p w14:paraId="45F36E89"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165(I)/2017</w:t>
            </w:r>
          </w:p>
          <w:p w14:paraId="26E45703" w14:textId="77777777" w:rsidR="003B37E4" w:rsidRDefault="003B37E4" w:rsidP="003B37E4">
            <w:pPr>
              <w:numPr>
                <w:ilvl w:val="0"/>
                <w:numId w:val="3"/>
              </w:numPr>
              <w:spacing w:before="100" w:beforeAutospacing="1" w:after="100" w:afterAutospacing="1" w:line="276" w:lineRule="auto"/>
              <w:ind w:left="0"/>
              <w:rPr>
                <w:rFonts w:eastAsia="Times New Roman" w:cstheme="minorHAnsi"/>
                <w:color w:val="000000"/>
                <w:lang w:val="en-US"/>
              </w:rPr>
            </w:pPr>
            <w:r w:rsidRPr="006D1E3F">
              <w:rPr>
                <w:rFonts w:eastAsia="Times New Roman" w:cstheme="minorHAnsi"/>
                <w:color w:val="000000"/>
                <w:lang w:val="en-US"/>
              </w:rPr>
              <w:t>51(I)/2018</w:t>
            </w:r>
          </w:p>
          <w:p w14:paraId="20EACE61" w14:textId="77777777" w:rsidR="003B37E4" w:rsidRDefault="003B37E4" w:rsidP="003B37E4">
            <w:pPr>
              <w:numPr>
                <w:ilvl w:val="0"/>
                <w:numId w:val="3"/>
              </w:numPr>
              <w:spacing w:before="100" w:beforeAutospacing="1" w:after="100" w:afterAutospacing="1" w:line="276" w:lineRule="auto"/>
              <w:ind w:left="0"/>
              <w:rPr>
                <w:rFonts w:eastAsia="Times New Roman" w:cstheme="minorHAnsi"/>
                <w:color w:val="000000"/>
                <w:lang w:val="en-US"/>
              </w:rPr>
            </w:pPr>
            <w:r w:rsidRPr="006D1E3F">
              <w:rPr>
                <w:rFonts w:eastAsia="Times New Roman" w:cstheme="minorHAnsi"/>
                <w:color w:val="000000"/>
                <w:lang w:val="en-US"/>
              </w:rPr>
              <w:t>96(I)/2018</w:t>
            </w:r>
          </w:p>
          <w:p w14:paraId="6AFC333B" w14:textId="77777777" w:rsidR="003B37E4" w:rsidRDefault="003B37E4" w:rsidP="003B37E4">
            <w:pPr>
              <w:numPr>
                <w:ilvl w:val="0"/>
                <w:numId w:val="3"/>
              </w:numPr>
              <w:spacing w:before="100" w:beforeAutospacing="1" w:after="100" w:afterAutospacing="1" w:line="276" w:lineRule="auto"/>
              <w:ind w:left="0"/>
              <w:rPr>
                <w:rFonts w:eastAsia="Times New Roman" w:cstheme="minorHAnsi"/>
                <w:color w:val="000000"/>
                <w:lang w:val="en-US"/>
              </w:rPr>
            </w:pPr>
            <w:r w:rsidRPr="006D1E3F">
              <w:rPr>
                <w:rFonts w:eastAsia="Times New Roman" w:cstheme="minorHAnsi"/>
                <w:color w:val="000000"/>
                <w:lang w:val="en-US"/>
              </w:rPr>
              <w:t>122(I)/2018</w:t>
            </w:r>
          </w:p>
          <w:p w14:paraId="68465006" w14:textId="77777777" w:rsidR="003B37E4" w:rsidRDefault="003B37E4" w:rsidP="003B37E4">
            <w:pPr>
              <w:numPr>
                <w:ilvl w:val="0"/>
                <w:numId w:val="3"/>
              </w:numPr>
              <w:spacing w:before="100" w:beforeAutospacing="1" w:after="100" w:afterAutospacing="1" w:line="276" w:lineRule="auto"/>
              <w:ind w:left="0"/>
              <w:rPr>
                <w:rFonts w:eastAsia="Times New Roman" w:cstheme="minorHAnsi"/>
                <w:color w:val="000000"/>
                <w:lang w:val="en-US"/>
              </w:rPr>
            </w:pPr>
            <w:r w:rsidRPr="006D1E3F">
              <w:rPr>
                <w:rFonts w:eastAsia="Times New Roman" w:cstheme="minorHAnsi"/>
                <w:color w:val="000000"/>
                <w:lang w:val="en-US"/>
              </w:rPr>
              <w:t>139(I)/2018</w:t>
            </w:r>
          </w:p>
          <w:p w14:paraId="6C78DE1A" w14:textId="77777777" w:rsidR="003B37E4" w:rsidRDefault="003B37E4" w:rsidP="003B37E4">
            <w:pPr>
              <w:numPr>
                <w:ilvl w:val="0"/>
                <w:numId w:val="3"/>
              </w:numPr>
              <w:spacing w:before="100" w:beforeAutospacing="1" w:after="100" w:afterAutospacing="1" w:line="276" w:lineRule="auto"/>
              <w:ind w:left="0"/>
              <w:rPr>
                <w:rFonts w:eastAsia="Times New Roman" w:cstheme="minorHAnsi"/>
                <w:color w:val="000000"/>
                <w:lang w:val="en-US"/>
              </w:rPr>
            </w:pPr>
            <w:r w:rsidRPr="006D1E3F">
              <w:rPr>
                <w:rFonts w:eastAsia="Times New Roman" w:cstheme="minorHAnsi"/>
                <w:color w:val="000000"/>
                <w:lang w:val="en-US"/>
              </w:rPr>
              <w:t>27(I)/2019</w:t>
            </w:r>
          </w:p>
          <w:p w14:paraId="73ED892C" w14:textId="77777777" w:rsidR="003B37E4" w:rsidRDefault="003B37E4" w:rsidP="003B37E4">
            <w:pPr>
              <w:numPr>
                <w:ilvl w:val="0"/>
                <w:numId w:val="3"/>
              </w:numPr>
              <w:spacing w:before="100" w:beforeAutospacing="1" w:after="100" w:afterAutospacing="1" w:line="276" w:lineRule="auto"/>
              <w:ind w:left="0"/>
              <w:rPr>
                <w:rFonts w:eastAsia="Times New Roman" w:cstheme="minorHAnsi"/>
                <w:color w:val="000000"/>
                <w:lang w:val="en-US"/>
              </w:rPr>
            </w:pPr>
            <w:r w:rsidRPr="006D1E3F">
              <w:rPr>
                <w:rFonts w:eastAsia="Times New Roman" w:cstheme="minorHAnsi"/>
                <w:color w:val="000000"/>
                <w:lang w:val="en-US"/>
              </w:rPr>
              <w:t>28(I)/2019</w:t>
            </w:r>
          </w:p>
          <w:p w14:paraId="7AB45564" w14:textId="77777777" w:rsidR="003B37E4" w:rsidRDefault="003B37E4" w:rsidP="003B37E4">
            <w:pPr>
              <w:numPr>
                <w:ilvl w:val="0"/>
                <w:numId w:val="3"/>
              </w:numPr>
              <w:spacing w:before="100" w:beforeAutospacing="1" w:after="100" w:afterAutospacing="1" w:line="276" w:lineRule="auto"/>
              <w:ind w:left="0"/>
              <w:rPr>
                <w:rFonts w:eastAsia="Times New Roman" w:cstheme="minorHAnsi"/>
                <w:color w:val="000000"/>
                <w:lang w:val="en-US"/>
              </w:rPr>
            </w:pPr>
            <w:r w:rsidRPr="006D1E3F">
              <w:rPr>
                <w:rFonts w:eastAsia="Times New Roman" w:cstheme="minorHAnsi"/>
                <w:color w:val="000000"/>
                <w:lang w:val="en-US"/>
              </w:rPr>
              <w:t>63(I)/2019</w:t>
            </w:r>
          </w:p>
          <w:p w14:paraId="733CD9A2" w14:textId="77777777" w:rsidR="003B37E4" w:rsidRDefault="003B37E4" w:rsidP="003B37E4">
            <w:pPr>
              <w:numPr>
                <w:ilvl w:val="0"/>
                <w:numId w:val="3"/>
              </w:numPr>
              <w:spacing w:before="100" w:beforeAutospacing="1" w:after="100" w:afterAutospacing="1" w:line="276" w:lineRule="auto"/>
              <w:ind w:left="0"/>
              <w:rPr>
                <w:rFonts w:eastAsia="Times New Roman" w:cstheme="minorHAnsi"/>
                <w:color w:val="000000"/>
                <w:lang w:val="en-US"/>
              </w:rPr>
            </w:pPr>
            <w:r w:rsidRPr="006D1E3F">
              <w:rPr>
                <w:rFonts w:eastAsia="Times New Roman" w:cstheme="minorHAnsi"/>
                <w:color w:val="000000"/>
                <w:lang w:val="en-US"/>
              </w:rPr>
              <w:t>151(I)/2019</w:t>
            </w:r>
          </w:p>
          <w:p w14:paraId="007602E2" w14:textId="77777777" w:rsidR="003B37E4" w:rsidRDefault="003B37E4" w:rsidP="003B37E4">
            <w:pPr>
              <w:numPr>
                <w:ilvl w:val="0"/>
                <w:numId w:val="3"/>
              </w:numPr>
              <w:spacing w:before="100" w:beforeAutospacing="1" w:after="100" w:afterAutospacing="1" w:line="276" w:lineRule="auto"/>
              <w:ind w:left="0"/>
              <w:rPr>
                <w:rFonts w:eastAsia="Times New Roman" w:cstheme="minorHAnsi"/>
                <w:color w:val="000000"/>
                <w:lang w:val="en-US"/>
              </w:rPr>
            </w:pPr>
            <w:r w:rsidRPr="006D1E3F">
              <w:rPr>
                <w:rFonts w:eastAsia="Times New Roman" w:cstheme="minorHAnsi"/>
                <w:color w:val="000000"/>
                <w:lang w:val="en-US"/>
              </w:rPr>
              <w:t>152(I)/2019</w:t>
            </w:r>
          </w:p>
          <w:p w14:paraId="4A594249" w14:textId="77777777" w:rsidR="003B37E4" w:rsidRDefault="003B37E4" w:rsidP="003B37E4">
            <w:pPr>
              <w:numPr>
                <w:ilvl w:val="0"/>
                <w:numId w:val="3"/>
              </w:numPr>
              <w:spacing w:before="100" w:beforeAutospacing="1" w:after="100" w:afterAutospacing="1" w:line="276" w:lineRule="auto"/>
              <w:ind w:left="0"/>
              <w:rPr>
                <w:rFonts w:eastAsia="Times New Roman" w:cstheme="minorHAnsi"/>
                <w:color w:val="000000"/>
                <w:lang w:val="en-US"/>
              </w:rPr>
            </w:pPr>
            <w:r w:rsidRPr="006D1E3F">
              <w:rPr>
                <w:rFonts w:eastAsia="Times New Roman" w:cstheme="minorHAnsi"/>
                <w:color w:val="000000"/>
                <w:lang w:val="en-US"/>
              </w:rPr>
              <w:t>173(I)/2019</w:t>
            </w:r>
          </w:p>
          <w:p w14:paraId="5D50CE79" w14:textId="77777777" w:rsidR="003B37E4" w:rsidRDefault="003B37E4" w:rsidP="003B37E4">
            <w:pPr>
              <w:numPr>
                <w:ilvl w:val="0"/>
                <w:numId w:val="3"/>
              </w:numPr>
              <w:spacing w:before="100" w:beforeAutospacing="1" w:after="100" w:afterAutospacing="1" w:line="276" w:lineRule="auto"/>
              <w:ind w:left="0"/>
              <w:rPr>
                <w:rFonts w:eastAsia="Times New Roman" w:cstheme="minorHAnsi"/>
                <w:color w:val="000000"/>
                <w:lang w:val="en-US"/>
              </w:rPr>
            </w:pPr>
            <w:r w:rsidRPr="006D1E3F">
              <w:rPr>
                <w:rFonts w:eastAsia="Times New Roman" w:cstheme="minorHAnsi"/>
                <w:color w:val="000000"/>
                <w:lang w:val="en-US"/>
              </w:rPr>
              <w:t>45(I)/2020</w:t>
            </w:r>
          </w:p>
          <w:p w14:paraId="000DE91A" w14:textId="77777777" w:rsidR="003B37E4" w:rsidRDefault="003B37E4" w:rsidP="003B37E4">
            <w:pPr>
              <w:numPr>
                <w:ilvl w:val="0"/>
                <w:numId w:val="3"/>
              </w:numPr>
              <w:spacing w:before="100" w:beforeAutospacing="1" w:after="100" w:afterAutospacing="1" w:line="276" w:lineRule="auto"/>
              <w:ind w:left="0"/>
              <w:rPr>
                <w:rFonts w:eastAsia="Times New Roman" w:cstheme="minorHAnsi"/>
                <w:color w:val="000000"/>
                <w:lang w:val="en-US"/>
              </w:rPr>
            </w:pPr>
            <w:r w:rsidRPr="006D1E3F">
              <w:rPr>
                <w:rFonts w:eastAsia="Times New Roman" w:cstheme="minorHAnsi"/>
                <w:color w:val="000000"/>
                <w:lang w:val="en-US"/>
              </w:rPr>
              <w:t>58(I)/2020</w:t>
            </w:r>
          </w:p>
          <w:p w14:paraId="30B44890" w14:textId="77777777" w:rsidR="003B37E4" w:rsidRDefault="003B37E4" w:rsidP="003B37E4">
            <w:pPr>
              <w:numPr>
                <w:ilvl w:val="0"/>
                <w:numId w:val="3"/>
              </w:numPr>
              <w:spacing w:before="100" w:beforeAutospacing="1" w:after="100" w:afterAutospacing="1" w:line="276" w:lineRule="auto"/>
              <w:ind w:left="0"/>
              <w:rPr>
                <w:rFonts w:eastAsia="Times New Roman" w:cstheme="minorHAnsi"/>
                <w:color w:val="000000"/>
                <w:lang w:val="en-US"/>
              </w:rPr>
            </w:pPr>
            <w:r w:rsidRPr="006D1E3F">
              <w:rPr>
                <w:rFonts w:eastAsia="Times New Roman" w:cstheme="minorHAnsi"/>
                <w:color w:val="000000"/>
                <w:lang w:val="en-US"/>
              </w:rPr>
              <w:t>66(I)/2020</w:t>
            </w:r>
          </w:p>
          <w:p w14:paraId="0F50860C"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80(I)/2020</w:t>
            </w:r>
          </w:p>
          <w:p w14:paraId="1F333149"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95(I)/2020</w:t>
            </w:r>
          </w:p>
          <w:p w14:paraId="09F67678"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151(I)/2020</w:t>
            </w:r>
          </w:p>
          <w:p w14:paraId="4F2B8EDE"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sz w:val="25"/>
                <w:szCs w:val="25"/>
                <w:lang w:val="en-US"/>
              </w:rPr>
            </w:pPr>
            <w:r w:rsidRPr="006D1E3F">
              <w:rPr>
                <w:rFonts w:eastAsia="Times New Roman" w:cstheme="minorHAnsi"/>
                <w:color w:val="000000"/>
                <w:lang w:val="en-US"/>
              </w:rPr>
              <w:t>179(I)/2020</w:t>
            </w:r>
          </w:p>
          <w:p w14:paraId="5514BA1B"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180(I)/2020</w:t>
            </w:r>
          </w:p>
          <w:p w14:paraId="17348763"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31(I)/2021</w:t>
            </w:r>
          </w:p>
          <w:p w14:paraId="553A91D1"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178(I)/2021</w:t>
            </w:r>
          </w:p>
          <w:p w14:paraId="42F8E940"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193(I)/2021</w:t>
            </w:r>
          </w:p>
          <w:p w14:paraId="62190C6C"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31(I)/2022</w:t>
            </w:r>
          </w:p>
          <w:p w14:paraId="75FE72B5"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77(I)/2022</w:t>
            </w:r>
          </w:p>
          <w:p w14:paraId="3D83840A"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89(I)/2</w:t>
            </w:r>
            <w:r w:rsidRPr="006D1E3F">
              <w:rPr>
                <w:rFonts w:eastAsia="Times New Roman" w:cstheme="minorHAnsi"/>
                <w:color w:val="000000"/>
                <w:lang w:val="el-GR"/>
              </w:rPr>
              <w:t>2</w:t>
            </w:r>
          </w:p>
          <w:p w14:paraId="796D37E4"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101(I)/2022</w:t>
            </w:r>
          </w:p>
          <w:p w14:paraId="6E0611DF" w14:textId="77777777" w:rsidR="003B37E4" w:rsidRDefault="003B37E4" w:rsidP="003B37E4">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112(I)/2022</w:t>
            </w:r>
          </w:p>
          <w:p w14:paraId="6765FC9F" w14:textId="77777777" w:rsidR="00C64101" w:rsidRPr="00C64101" w:rsidRDefault="003B37E4" w:rsidP="00C64101">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6D1E3F">
              <w:rPr>
                <w:rFonts w:eastAsia="Times New Roman" w:cstheme="minorHAnsi"/>
                <w:color w:val="000000"/>
                <w:lang w:val="en-US"/>
              </w:rPr>
              <w:t>121(I)/2022</w:t>
            </w:r>
          </w:p>
          <w:p w14:paraId="0CE568D0" w14:textId="5F76B0B5" w:rsidR="003B37E4" w:rsidRPr="00C64101" w:rsidRDefault="003B37E4" w:rsidP="00C64101">
            <w:pPr>
              <w:numPr>
                <w:ilvl w:val="0"/>
                <w:numId w:val="3"/>
              </w:numPr>
              <w:spacing w:before="100" w:beforeAutospacing="1" w:after="100" w:afterAutospacing="1" w:line="276" w:lineRule="auto"/>
              <w:ind w:left="0"/>
              <w:rPr>
                <w:rFonts w:ascii="EU Albertina" w:eastAsia="Times New Roman" w:hAnsi="EU Albertina" w:cstheme="minorHAnsi"/>
                <w:color w:val="000000"/>
                <w:lang w:val="en-US"/>
              </w:rPr>
            </w:pPr>
            <w:r w:rsidRPr="00C64101">
              <w:rPr>
                <w:rFonts w:eastAsia="Times New Roman" w:cstheme="minorHAnsi"/>
                <w:color w:val="000000"/>
                <w:lang w:val="en-US"/>
              </w:rPr>
              <w:t>122(I)/2022</w:t>
            </w:r>
          </w:p>
        </w:tc>
        <w:tc>
          <w:tcPr>
            <w:tcW w:w="8363" w:type="dxa"/>
          </w:tcPr>
          <w:p w14:paraId="18CCF93F" w14:textId="77777777" w:rsidR="00C64101" w:rsidRPr="00C64101" w:rsidRDefault="00C64101" w:rsidP="00C64101">
            <w:pPr>
              <w:pStyle w:val="ListParagraph"/>
              <w:numPr>
                <w:ilvl w:val="0"/>
                <w:numId w:val="2"/>
              </w:numPr>
              <w:ind w:left="316" w:hanging="283"/>
              <w:jc w:val="both"/>
              <w:rPr>
                <w:rFonts w:ascii="Arial" w:hAnsi="Arial" w:cs="Arial"/>
                <w:sz w:val="20"/>
                <w:szCs w:val="20"/>
              </w:rPr>
            </w:pPr>
            <w:r w:rsidRPr="00C64101">
              <w:rPr>
                <w:rFonts w:ascii="Arial" w:hAnsi="Arial" w:cs="Arial"/>
                <w:sz w:val="20"/>
                <w:szCs w:val="20"/>
              </w:rPr>
              <w:lastRenderedPageBreak/>
              <w:t xml:space="preserve">Οι εισφορές που καταβάλλονται σε PEPP στην Κύπρο εκπίπτουν του φορολογητέου εισοδήματος του αποταμιευτή PEPP σύμφωνα με το άρθρο 14 του Περί Φορολογίας του Εισοδήματος Νόμου. </w:t>
            </w:r>
          </w:p>
          <w:p w14:paraId="57F29E7F" w14:textId="77777777" w:rsidR="003B37E4" w:rsidRDefault="003B37E4" w:rsidP="003B37E4">
            <w:pPr>
              <w:jc w:val="center"/>
              <w:rPr>
                <w:lang w:val="el-GR"/>
              </w:rPr>
            </w:pPr>
          </w:p>
        </w:tc>
      </w:tr>
      <w:tr w:rsidR="003B37E4" w:rsidRPr="0009627B" w14:paraId="7143CBCB" w14:textId="77777777" w:rsidTr="00300554">
        <w:tc>
          <w:tcPr>
            <w:tcW w:w="1843" w:type="dxa"/>
          </w:tcPr>
          <w:p w14:paraId="5BE25A1A" w14:textId="5613D898" w:rsidR="003B37E4" w:rsidRPr="006C38F1" w:rsidRDefault="003B37E4" w:rsidP="003B37E4">
            <w:pPr>
              <w:jc w:val="both"/>
              <w:rPr>
                <w:lang w:val="el-GR"/>
              </w:rPr>
            </w:pPr>
            <w:r w:rsidRPr="006C38F1">
              <w:rPr>
                <w:lang w:val="el-GR"/>
              </w:rPr>
              <w:t>Φορολόγηση Τόκων</w:t>
            </w:r>
            <w:r w:rsidR="0009627B">
              <w:rPr>
                <w:lang w:val="el-GR"/>
              </w:rPr>
              <w:t>.</w:t>
            </w:r>
          </w:p>
          <w:p w14:paraId="15A771A9" w14:textId="77777777" w:rsidR="003B37E4" w:rsidRPr="004074AE" w:rsidRDefault="003B37E4" w:rsidP="003B37E4">
            <w:pPr>
              <w:numPr>
                <w:ilvl w:val="0"/>
                <w:numId w:val="4"/>
              </w:numPr>
              <w:spacing w:before="100" w:beforeAutospacing="1" w:after="100" w:afterAutospacing="1"/>
              <w:ind w:left="0"/>
              <w:rPr>
                <w:rFonts w:eastAsia="Times New Roman" w:cstheme="minorHAnsi"/>
                <w:bCs/>
                <w:color w:val="000000"/>
                <w:lang w:val="en-US"/>
              </w:rPr>
            </w:pPr>
            <w:r w:rsidRPr="004074AE">
              <w:rPr>
                <w:rFonts w:eastAsia="Times New Roman" w:cstheme="minorHAnsi"/>
                <w:bCs/>
                <w:color w:val="000000"/>
                <w:lang w:val="en-US"/>
              </w:rPr>
              <w:t>17(I)/2002</w:t>
            </w:r>
          </w:p>
          <w:p w14:paraId="53C02E8B"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223(I)/2002</w:t>
            </w:r>
          </w:p>
          <w:p w14:paraId="0EC675A6"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188(I)/2003</w:t>
            </w:r>
          </w:p>
          <w:p w14:paraId="6E9C0B0A"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178(I)/2007</w:t>
            </w:r>
          </w:p>
          <w:p w14:paraId="73605F23"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23(I)/2009</w:t>
            </w:r>
          </w:p>
          <w:p w14:paraId="532EC01E"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44(I)/2009</w:t>
            </w:r>
          </w:p>
          <w:p w14:paraId="438D2939"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75(I)/2009</w:t>
            </w:r>
          </w:p>
          <w:p w14:paraId="19733FE2"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111(I)/2009</w:t>
            </w:r>
          </w:p>
          <w:p w14:paraId="75668236"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40(I)/2010</w:t>
            </w:r>
          </w:p>
          <w:p w14:paraId="789E4BE6"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132(I)/2010</w:t>
            </w:r>
          </w:p>
          <w:p w14:paraId="6BD2A12D"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114(I)/2011</w:t>
            </w:r>
          </w:p>
          <w:p w14:paraId="0A7E2779"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190(I)/2011</w:t>
            </w:r>
          </w:p>
          <w:p w14:paraId="24BD04A1"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72(I)/2012</w:t>
            </w:r>
          </w:p>
          <w:p w14:paraId="02676CC2"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29(I)/2013</w:t>
            </w:r>
          </w:p>
          <w:p w14:paraId="54C400E7"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119(I)/2015</w:t>
            </w:r>
          </w:p>
          <w:p w14:paraId="7E63811F"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208(Ι)/2015</w:t>
            </w:r>
          </w:p>
          <w:p w14:paraId="4A5D85FC"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209(I)/2015</w:t>
            </w:r>
          </w:p>
          <w:p w14:paraId="00E9FAFA"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68(Ι)/2016</w:t>
            </w:r>
          </w:p>
          <w:p w14:paraId="2B4E07E9"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106(I)/2017</w:t>
            </w:r>
          </w:p>
          <w:p w14:paraId="6B924D3C"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131(I)/2017</w:t>
            </w:r>
          </w:p>
          <w:p w14:paraId="66A9E919"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98(I)/2018</w:t>
            </w:r>
          </w:p>
          <w:p w14:paraId="1F6054B4"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118(I)/2018</w:t>
            </w:r>
          </w:p>
          <w:p w14:paraId="4D9E3117"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25(I)/2019</w:t>
            </w:r>
          </w:p>
          <w:p w14:paraId="48CE25EF"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87(I)/2019</w:t>
            </w:r>
          </w:p>
          <w:p w14:paraId="27920EDA"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155(I)/2019</w:t>
            </w:r>
          </w:p>
          <w:p w14:paraId="2950908C"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172(I)/2019</w:t>
            </w:r>
          </w:p>
          <w:p w14:paraId="12C60C0D"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184(I)/2020</w:t>
            </w:r>
          </w:p>
          <w:p w14:paraId="52C9033F"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6(I)/2021</w:t>
            </w:r>
          </w:p>
          <w:p w14:paraId="048E6E64"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32(I)/2021</w:t>
            </w:r>
          </w:p>
          <w:p w14:paraId="672DB862" w14:textId="77777777" w:rsidR="003B37E4" w:rsidRPr="004074AE" w:rsidRDefault="003B37E4" w:rsidP="003B37E4">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177(I)/2021</w:t>
            </w:r>
          </w:p>
          <w:p w14:paraId="49809C67" w14:textId="77777777" w:rsidR="00C64101" w:rsidRDefault="003B37E4" w:rsidP="00C64101">
            <w:pPr>
              <w:numPr>
                <w:ilvl w:val="0"/>
                <w:numId w:val="4"/>
              </w:numPr>
              <w:spacing w:before="100" w:beforeAutospacing="1" w:after="100" w:afterAutospacing="1"/>
              <w:ind w:left="0"/>
              <w:rPr>
                <w:rFonts w:eastAsia="Times New Roman" w:cstheme="minorHAnsi"/>
                <w:color w:val="000000"/>
                <w:lang w:val="en-US"/>
              </w:rPr>
            </w:pPr>
            <w:r w:rsidRPr="004074AE">
              <w:rPr>
                <w:rFonts w:eastAsia="Times New Roman" w:cstheme="minorHAnsi"/>
                <w:color w:val="000000"/>
                <w:lang w:val="en-US"/>
              </w:rPr>
              <w:t>195(I)/2021</w:t>
            </w:r>
          </w:p>
          <w:p w14:paraId="3FC6EE31" w14:textId="6C8871BF" w:rsidR="003B37E4" w:rsidRPr="00C64101" w:rsidRDefault="003B37E4" w:rsidP="00C64101">
            <w:pPr>
              <w:numPr>
                <w:ilvl w:val="0"/>
                <w:numId w:val="4"/>
              </w:numPr>
              <w:spacing w:before="100" w:beforeAutospacing="1" w:after="100" w:afterAutospacing="1"/>
              <w:ind w:left="0"/>
              <w:rPr>
                <w:rFonts w:eastAsia="Times New Roman" w:cstheme="minorHAnsi"/>
                <w:color w:val="000000"/>
                <w:lang w:val="en-US"/>
              </w:rPr>
            </w:pPr>
            <w:r w:rsidRPr="00C64101">
              <w:rPr>
                <w:rFonts w:eastAsia="Times New Roman" w:cstheme="minorHAnsi"/>
                <w:color w:val="000000"/>
                <w:lang w:val="en-US"/>
              </w:rPr>
              <w:t>78(I)/2022</w:t>
            </w:r>
          </w:p>
        </w:tc>
        <w:tc>
          <w:tcPr>
            <w:tcW w:w="8363" w:type="dxa"/>
          </w:tcPr>
          <w:p w14:paraId="7E35045F" w14:textId="26A8E275" w:rsidR="00C64101" w:rsidRPr="00C64101" w:rsidRDefault="00C64101" w:rsidP="00C64101">
            <w:pPr>
              <w:pStyle w:val="ListParagraph"/>
              <w:numPr>
                <w:ilvl w:val="0"/>
                <w:numId w:val="2"/>
              </w:numPr>
              <w:ind w:left="316" w:hanging="283"/>
              <w:jc w:val="both"/>
              <w:rPr>
                <w:rFonts w:ascii="Arial" w:hAnsi="Arial" w:cs="Arial"/>
                <w:sz w:val="20"/>
                <w:szCs w:val="20"/>
              </w:rPr>
            </w:pPr>
            <w:r w:rsidRPr="00C64101">
              <w:rPr>
                <w:rFonts w:ascii="Arial" w:hAnsi="Arial" w:cs="Arial"/>
                <w:sz w:val="20"/>
                <w:szCs w:val="20"/>
              </w:rPr>
              <w:t xml:space="preserve">Οι τόκοι με τους οποίους πιστώνονται τα εγκεκριμένα PEPP φορολογούνται </w:t>
            </w:r>
            <w:r w:rsidR="002244E3">
              <w:t>το ίδιο με τα ταμεία συντάξεως,</w:t>
            </w:r>
            <w:r w:rsidRPr="00C64101">
              <w:rPr>
                <w:rFonts w:ascii="Arial" w:hAnsi="Arial" w:cs="Arial"/>
                <w:sz w:val="20"/>
                <w:szCs w:val="20"/>
              </w:rPr>
              <w:t xml:space="preserve"> </w:t>
            </w:r>
            <w:r>
              <w:rPr>
                <w:rFonts w:ascii="Arial" w:hAnsi="Arial" w:cs="Arial"/>
                <w:sz w:val="20"/>
                <w:szCs w:val="20"/>
              </w:rPr>
              <w:t>σύμφωνα με</w:t>
            </w:r>
            <w:r w:rsidRPr="00C64101">
              <w:rPr>
                <w:rFonts w:ascii="Arial" w:hAnsi="Arial" w:cs="Arial"/>
                <w:sz w:val="20"/>
                <w:szCs w:val="20"/>
              </w:rPr>
              <w:t xml:space="preserve"> τις πρόνοιες του εδαφίου 2(γ)(iii) του άρθρου 3</w:t>
            </w:r>
            <w:r w:rsidR="00CF7604">
              <w:rPr>
                <w:rFonts w:ascii="Arial" w:hAnsi="Arial" w:cs="Arial"/>
                <w:sz w:val="20"/>
                <w:szCs w:val="20"/>
              </w:rPr>
              <w:t xml:space="preserve"> του</w:t>
            </w:r>
            <w:r w:rsidRPr="00C64101">
              <w:rPr>
                <w:rFonts w:ascii="Arial" w:hAnsi="Arial" w:cs="Arial"/>
                <w:sz w:val="20"/>
                <w:szCs w:val="20"/>
              </w:rPr>
              <w:t xml:space="preserve"> περί Έκτακτης Εισφοράς για την Άμυνα της Δημοκρατίας Νόμο</w:t>
            </w:r>
            <w:r w:rsidR="00CF7604">
              <w:rPr>
                <w:rFonts w:ascii="Arial" w:hAnsi="Arial" w:cs="Arial"/>
                <w:sz w:val="20"/>
                <w:szCs w:val="20"/>
              </w:rPr>
              <w:t>υ</w:t>
            </w:r>
            <w:r w:rsidRPr="00C64101">
              <w:rPr>
                <w:rFonts w:ascii="Arial" w:hAnsi="Arial" w:cs="Arial"/>
                <w:sz w:val="20"/>
                <w:szCs w:val="20"/>
              </w:rPr>
              <w:t>.</w:t>
            </w:r>
          </w:p>
          <w:p w14:paraId="4DAC97AE" w14:textId="77777777" w:rsidR="003B37E4" w:rsidRDefault="003B37E4" w:rsidP="003B37E4">
            <w:pPr>
              <w:jc w:val="center"/>
              <w:rPr>
                <w:lang w:val="el-GR"/>
              </w:rPr>
            </w:pPr>
          </w:p>
        </w:tc>
      </w:tr>
    </w:tbl>
    <w:p w14:paraId="33A6C912" w14:textId="1E71B4B0" w:rsidR="003B37E4" w:rsidRDefault="003B37E4" w:rsidP="003B37E4">
      <w:pPr>
        <w:jc w:val="center"/>
        <w:rPr>
          <w:lang w:val="el-GR"/>
        </w:rPr>
      </w:pPr>
    </w:p>
    <w:p w14:paraId="0B2D8CFF" w14:textId="0F830916" w:rsidR="00C64101" w:rsidRDefault="00C64101" w:rsidP="003B37E4">
      <w:pPr>
        <w:jc w:val="center"/>
        <w:rPr>
          <w:b/>
          <w:lang w:val="el-GR"/>
        </w:rPr>
      </w:pPr>
      <w:r w:rsidRPr="003B37E4">
        <w:rPr>
          <w:b/>
          <w:lang w:val="el-GR"/>
        </w:rPr>
        <w:t xml:space="preserve">ΦΑΣΗ </w:t>
      </w:r>
      <w:r>
        <w:rPr>
          <w:b/>
          <w:lang w:val="el-GR"/>
        </w:rPr>
        <w:t>ΑΠΟ</w:t>
      </w:r>
      <w:r w:rsidRPr="003B37E4">
        <w:rPr>
          <w:b/>
          <w:lang w:val="el-GR"/>
        </w:rPr>
        <w:t>ΣΥΣΣΩΡΕΥΣΗΣ</w:t>
      </w:r>
    </w:p>
    <w:p w14:paraId="31004E49" w14:textId="73C81052" w:rsidR="00C64101" w:rsidRDefault="00C64101" w:rsidP="003B37E4">
      <w:pPr>
        <w:jc w:val="center"/>
        <w:rPr>
          <w:b/>
          <w:lang w:val="el-GR"/>
        </w:rPr>
      </w:pP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63"/>
      </w:tblGrid>
      <w:tr w:rsidR="00722863" w:rsidRPr="0009627B" w14:paraId="049812C4" w14:textId="77777777" w:rsidTr="00300554">
        <w:tc>
          <w:tcPr>
            <w:tcW w:w="1843" w:type="dxa"/>
          </w:tcPr>
          <w:p w14:paraId="0EE83E6D" w14:textId="49A83C08" w:rsidR="00722863" w:rsidRDefault="00722863" w:rsidP="00722863">
            <w:pPr>
              <w:jc w:val="both"/>
              <w:rPr>
                <w:lang w:val="el-GR"/>
              </w:rPr>
            </w:pPr>
            <w:r w:rsidRPr="00033584">
              <w:rPr>
                <w:lang w:val="el-GR"/>
              </w:rPr>
              <w:t>Ηλικίες Συνταξιοδότησης</w:t>
            </w:r>
            <w:r w:rsidR="0009627B">
              <w:rPr>
                <w:lang w:val="el-GR"/>
              </w:rPr>
              <w:t>.</w:t>
            </w:r>
          </w:p>
          <w:p w14:paraId="7EAFA1A7" w14:textId="77777777" w:rsidR="00722863" w:rsidRPr="007D008D" w:rsidRDefault="00722863" w:rsidP="00722863">
            <w:pPr>
              <w:numPr>
                <w:ilvl w:val="0"/>
                <w:numId w:val="6"/>
              </w:numPr>
              <w:spacing w:before="100" w:beforeAutospacing="1" w:after="100" w:afterAutospacing="1"/>
              <w:ind w:left="0"/>
              <w:jc w:val="both"/>
              <w:rPr>
                <w:rFonts w:eastAsia="Times New Roman" w:cstheme="minorHAnsi"/>
                <w:bCs/>
                <w:color w:val="000000"/>
                <w:lang w:val="en-US"/>
              </w:rPr>
            </w:pPr>
            <w:r w:rsidRPr="007D008D">
              <w:rPr>
                <w:rFonts w:eastAsia="Times New Roman" w:cstheme="minorHAnsi"/>
                <w:bCs/>
                <w:color w:val="000000"/>
                <w:lang w:val="en-US"/>
              </w:rPr>
              <w:t>59(I)/2010</w:t>
            </w:r>
          </w:p>
          <w:p w14:paraId="32D97D81" w14:textId="77777777" w:rsidR="00722863" w:rsidRPr="00B34782" w:rsidRDefault="00722863" w:rsidP="00722863">
            <w:pPr>
              <w:numPr>
                <w:ilvl w:val="0"/>
                <w:numId w:val="6"/>
              </w:numPr>
              <w:spacing w:before="100" w:beforeAutospacing="1" w:after="100" w:afterAutospacing="1"/>
              <w:ind w:left="0"/>
              <w:jc w:val="both"/>
              <w:rPr>
                <w:rFonts w:eastAsia="Times New Roman" w:cstheme="minorHAnsi"/>
                <w:bCs/>
                <w:color w:val="000000"/>
                <w:lang w:val="en-US"/>
              </w:rPr>
            </w:pPr>
            <w:r w:rsidRPr="007D008D">
              <w:rPr>
                <w:rFonts w:eastAsia="Times New Roman" w:cstheme="minorHAnsi"/>
                <w:color w:val="000000"/>
                <w:lang w:val="en-US"/>
              </w:rPr>
              <w:t>114</w:t>
            </w:r>
            <w:r w:rsidRPr="00B34782">
              <w:rPr>
                <w:rFonts w:eastAsia="Times New Roman" w:cstheme="minorHAnsi"/>
                <w:bCs/>
                <w:color w:val="000000"/>
                <w:lang w:val="en-US"/>
              </w:rPr>
              <w:t>(I)/2010</w:t>
            </w:r>
          </w:p>
          <w:p w14:paraId="5CB07ED3" w14:textId="77777777" w:rsidR="00722863" w:rsidRPr="00B34782" w:rsidRDefault="00722863" w:rsidP="00722863">
            <w:pPr>
              <w:numPr>
                <w:ilvl w:val="0"/>
                <w:numId w:val="6"/>
              </w:numPr>
              <w:spacing w:before="100" w:beforeAutospacing="1" w:after="100" w:afterAutospacing="1"/>
              <w:ind w:left="0"/>
              <w:jc w:val="both"/>
              <w:rPr>
                <w:rFonts w:eastAsia="Times New Roman" w:cstheme="minorHAnsi"/>
                <w:bCs/>
                <w:color w:val="000000"/>
                <w:lang w:val="en-US"/>
              </w:rPr>
            </w:pPr>
            <w:r w:rsidRPr="00B34782">
              <w:rPr>
                <w:rFonts w:eastAsia="Times New Roman" w:cstheme="minorHAnsi"/>
                <w:bCs/>
                <w:color w:val="000000"/>
                <w:lang w:val="en-US"/>
              </w:rPr>
              <w:t>126(I)/2010</w:t>
            </w:r>
          </w:p>
          <w:p w14:paraId="79FE50FF" w14:textId="77777777" w:rsidR="00722863" w:rsidRPr="00B34782" w:rsidRDefault="00722863" w:rsidP="00722863">
            <w:pPr>
              <w:numPr>
                <w:ilvl w:val="0"/>
                <w:numId w:val="6"/>
              </w:numPr>
              <w:spacing w:before="100" w:beforeAutospacing="1" w:after="100" w:afterAutospacing="1"/>
              <w:ind w:left="0"/>
              <w:jc w:val="both"/>
              <w:rPr>
                <w:rFonts w:eastAsia="Times New Roman" w:cstheme="minorHAnsi"/>
                <w:bCs/>
                <w:color w:val="000000"/>
                <w:lang w:val="en-US"/>
              </w:rPr>
            </w:pPr>
            <w:r w:rsidRPr="00B34782">
              <w:rPr>
                <w:rFonts w:eastAsia="Times New Roman" w:cstheme="minorHAnsi"/>
                <w:bCs/>
                <w:color w:val="000000"/>
                <w:lang w:val="en-US"/>
              </w:rPr>
              <w:t>2(I)/2012</w:t>
            </w:r>
          </w:p>
          <w:p w14:paraId="2C763981" w14:textId="77777777" w:rsidR="00722863" w:rsidRPr="00B34782" w:rsidRDefault="00722863" w:rsidP="00722863">
            <w:pPr>
              <w:numPr>
                <w:ilvl w:val="0"/>
                <w:numId w:val="6"/>
              </w:numPr>
              <w:spacing w:before="100" w:beforeAutospacing="1" w:after="100" w:afterAutospacing="1"/>
              <w:ind w:left="0"/>
              <w:jc w:val="both"/>
              <w:rPr>
                <w:rFonts w:eastAsia="Times New Roman" w:cstheme="minorHAnsi"/>
                <w:bCs/>
                <w:color w:val="000000"/>
                <w:lang w:val="en-US"/>
              </w:rPr>
            </w:pPr>
            <w:r w:rsidRPr="00B34782">
              <w:rPr>
                <w:rFonts w:eastAsia="Times New Roman" w:cstheme="minorHAnsi"/>
                <w:bCs/>
                <w:color w:val="000000"/>
                <w:lang w:val="en-US"/>
              </w:rPr>
              <w:t>37(I)/2012</w:t>
            </w:r>
          </w:p>
          <w:p w14:paraId="4E88CEDF" w14:textId="77777777" w:rsidR="00722863" w:rsidRPr="00B34782" w:rsidRDefault="00722863" w:rsidP="00722863">
            <w:pPr>
              <w:numPr>
                <w:ilvl w:val="0"/>
                <w:numId w:val="6"/>
              </w:numPr>
              <w:spacing w:before="100" w:beforeAutospacing="1" w:after="100" w:afterAutospacing="1"/>
              <w:ind w:left="0"/>
              <w:jc w:val="both"/>
              <w:rPr>
                <w:rFonts w:eastAsia="Times New Roman" w:cstheme="minorHAnsi"/>
                <w:bCs/>
                <w:color w:val="000000"/>
                <w:lang w:val="en-US"/>
              </w:rPr>
            </w:pPr>
            <w:r w:rsidRPr="00B34782">
              <w:rPr>
                <w:rFonts w:eastAsia="Times New Roman" w:cstheme="minorHAnsi"/>
                <w:bCs/>
                <w:color w:val="000000"/>
                <w:lang w:val="en-US"/>
              </w:rPr>
              <w:t>170(I)/2012</w:t>
            </w:r>
          </w:p>
          <w:p w14:paraId="71752603" w14:textId="77777777" w:rsidR="00722863" w:rsidRPr="00B34782" w:rsidRDefault="00722863" w:rsidP="00722863">
            <w:pPr>
              <w:numPr>
                <w:ilvl w:val="0"/>
                <w:numId w:val="6"/>
              </w:numPr>
              <w:spacing w:before="100" w:beforeAutospacing="1" w:after="100" w:afterAutospacing="1"/>
              <w:ind w:left="0"/>
              <w:jc w:val="both"/>
              <w:rPr>
                <w:rFonts w:eastAsia="Times New Roman" w:cstheme="minorHAnsi"/>
                <w:bCs/>
                <w:color w:val="000000"/>
                <w:lang w:val="en-US"/>
              </w:rPr>
            </w:pPr>
            <w:r w:rsidRPr="00B34782">
              <w:rPr>
                <w:rFonts w:eastAsia="Times New Roman" w:cstheme="minorHAnsi"/>
                <w:bCs/>
                <w:color w:val="000000"/>
                <w:lang w:val="en-US"/>
              </w:rPr>
              <w:t>193(Ι)/2012</w:t>
            </w:r>
          </w:p>
          <w:p w14:paraId="36403B99" w14:textId="77777777" w:rsidR="00722863" w:rsidRPr="00B34782" w:rsidRDefault="00722863" w:rsidP="00722863">
            <w:pPr>
              <w:numPr>
                <w:ilvl w:val="0"/>
                <w:numId w:val="6"/>
              </w:numPr>
              <w:spacing w:before="100" w:beforeAutospacing="1" w:after="100" w:afterAutospacing="1"/>
              <w:ind w:left="0"/>
              <w:jc w:val="both"/>
              <w:rPr>
                <w:rFonts w:eastAsia="Times New Roman" w:cstheme="minorHAnsi"/>
                <w:bCs/>
                <w:color w:val="000000"/>
                <w:lang w:val="en-US"/>
              </w:rPr>
            </w:pPr>
            <w:r w:rsidRPr="00B34782">
              <w:rPr>
                <w:rFonts w:eastAsia="Times New Roman" w:cstheme="minorHAnsi"/>
                <w:bCs/>
                <w:color w:val="000000"/>
                <w:lang w:val="en-US"/>
              </w:rPr>
              <w:t>106(Ι)/2014</w:t>
            </w:r>
          </w:p>
          <w:p w14:paraId="593B35D2" w14:textId="77777777" w:rsidR="00722863" w:rsidRPr="00B34782" w:rsidRDefault="00722863" w:rsidP="00722863">
            <w:pPr>
              <w:numPr>
                <w:ilvl w:val="0"/>
                <w:numId w:val="6"/>
              </w:numPr>
              <w:spacing w:before="100" w:beforeAutospacing="1" w:after="100" w:afterAutospacing="1"/>
              <w:ind w:left="0"/>
              <w:jc w:val="both"/>
              <w:rPr>
                <w:rFonts w:eastAsia="Times New Roman" w:cstheme="minorHAnsi"/>
                <w:bCs/>
                <w:color w:val="000000"/>
                <w:lang w:val="en-US"/>
              </w:rPr>
            </w:pPr>
            <w:r w:rsidRPr="00B34782">
              <w:rPr>
                <w:rFonts w:eastAsia="Times New Roman" w:cstheme="minorHAnsi"/>
                <w:bCs/>
                <w:color w:val="000000"/>
                <w:lang w:val="en-US"/>
              </w:rPr>
              <w:t>194(I)/2014</w:t>
            </w:r>
          </w:p>
          <w:p w14:paraId="4F8C9FF1" w14:textId="77777777" w:rsidR="00722863" w:rsidRPr="00B34782" w:rsidRDefault="00722863" w:rsidP="00722863">
            <w:pPr>
              <w:numPr>
                <w:ilvl w:val="0"/>
                <w:numId w:val="6"/>
              </w:numPr>
              <w:spacing w:before="100" w:beforeAutospacing="1" w:after="100" w:afterAutospacing="1"/>
              <w:ind w:left="0"/>
              <w:jc w:val="both"/>
              <w:rPr>
                <w:rFonts w:eastAsia="Times New Roman" w:cstheme="minorHAnsi"/>
                <w:bCs/>
                <w:color w:val="000000"/>
                <w:lang w:val="en-US"/>
              </w:rPr>
            </w:pPr>
            <w:r w:rsidRPr="00B34782">
              <w:rPr>
                <w:rFonts w:eastAsia="Times New Roman" w:cstheme="minorHAnsi"/>
                <w:bCs/>
                <w:color w:val="000000"/>
                <w:lang w:val="en-US"/>
              </w:rPr>
              <w:t>176(I)/2015</w:t>
            </w:r>
          </w:p>
          <w:p w14:paraId="60E0B48B" w14:textId="77777777" w:rsidR="00722863" w:rsidRPr="00B34782" w:rsidRDefault="00722863" w:rsidP="00722863">
            <w:pPr>
              <w:numPr>
                <w:ilvl w:val="0"/>
                <w:numId w:val="6"/>
              </w:numPr>
              <w:spacing w:before="100" w:beforeAutospacing="1" w:after="100" w:afterAutospacing="1"/>
              <w:ind w:left="0"/>
              <w:jc w:val="both"/>
              <w:rPr>
                <w:rFonts w:eastAsia="Times New Roman" w:cstheme="minorHAnsi"/>
                <w:bCs/>
                <w:color w:val="000000"/>
                <w:lang w:val="en-US"/>
              </w:rPr>
            </w:pPr>
            <w:r w:rsidRPr="00B34782">
              <w:rPr>
                <w:rFonts w:eastAsia="Times New Roman" w:cstheme="minorHAnsi"/>
                <w:bCs/>
                <w:color w:val="000000"/>
                <w:lang w:val="en-US"/>
              </w:rPr>
              <w:t>1(I)/2017</w:t>
            </w:r>
          </w:p>
          <w:p w14:paraId="277B2A17" w14:textId="77777777" w:rsidR="00722863" w:rsidRPr="00B34782" w:rsidRDefault="00722863" w:rsidP="00722863">
            <w:pPr>
              <w:numPr>
                <w:ilvl w:val="0"/>
                <w:numId w:val="6"/>
              </w:numPr>
              <w:spacing w:before="100" w:beforeAutospacing="1" w:after="100" w:afterAutospacing="1"/>
              <w:ind w:left="0"/>
              <w:jc w:val="both"/>
              <w:rPr>
                <w:rFonts w:eastAsia="Times New Roman" w:cstheme="minorHAnsi"/>
                <w:bCs/>
                <w:color w:val="000000"/>
                <w:lang w:val="en-US"/>
              </w:rPr>
            </w:pPr>
            <w:r w:rsidRPr="00B34782">
              <w:rPr>
                <w:rFonts w:eastAsia="Times New Roman" w:cstheme="minorHAnsi"/>
                <w:bCs/>
                <w:color w:val="000000"/>
                <w:lang w:val="en-US"/>
              </w:rPr>
              <w:t>52(I)/2017</w:t>
            </w:r>
          </w:p>
          <w:p w14:paraId="3B0A75EB" w14:textId="77777777" w:rsidR="00722863" w:rsidRPr="00B34782" w:rsidRDefault="00722863" w:rsidP="00722863">
            <w:pPr>
              <w:numPr>
                <w:ilvl w:val="0"/>
                <w:numId w:val="6"/>
              </w:numPr>
              <w:spacing w:before="100" w:beforeAutospacing="1" w:after="100" w:afterAutospacing="1"/>
              <w:ind w:left="0"/>
              <w:jc w:val="both"/>
              <w:rPr>
                <w:rFonts w:eastAsia="Times New Roman" w:cstheme="minorHAnsi"/>
                <w:bCs/>
                <w:color w:val="000000"/>
                <w:lang w:val="en-US"/>
              </w:rPr>
            </w:pPr>
            <w:r w:rsidRPr="00B34782">
              <w:rPr>
                <w:rFonts w:eastAsia="Times New Roman" w:cstheme="minorHAnsi"/>
                <w:bCs/>
                <w:color w:val="000000"/>
                <w:lang w:val="en-US"/>
              </w:rPr>
              <w:t>115(I)/2017</w:t>
            </w:r>
          </w:p>
          <w:p w14:paraId="1B5A8FBD" w14:textId="77777777" w:rsidR="00722863" w:rsidRPr="00B34782" w:rsidRDefault="00722863" w:rsidP="00722863">
            <w:pPr>
              <w:numPr>
                <w:ilvl w:val="0"/>
                <w:numId w:val="6"/>
              </w:numPr>
              <w:spacing w:before="100" w:beforeAutospacing="1" w:after="100" w:afterAutospacing="1"/>
              <w:ind w:left="0"/>
              <w:jc w:val="both"/>
              <w:rPr>
                <w:rFonts w:eastAsia="Times New Roman" w:cstheme="minorHAnsi"/>
                <w:bCs/>
                <w:color w:val="000000"/>
                <w:lang w:val="en-US"/>
              </w:rPr>
            </w:pPr>
            <w:r w:rsidRPr="00B34782">
              <w:rPr>
                <w:rFonts w:eastAsia="Times New Roman" w:cstheme="minorHAnsi"/>
                <w:bCs/>
                <w:color w:val="000000"/>
                <w:lang w:val="en-US"/>
              </w:rPr>
              <w:t>132(I)/2018</w:t>
            </w:r>
          </w:p>
          <w:p w14:paraId="7C49178E" w14:textId="77777777" w:rsidR="00722863" w:rsidRPr="00B34782" w:rsidRDefault="00722863" w:rsidP="00722863">
            <w:pPr>
              <w:numPr>
                <w:ilvl w:val="0"/>
                <w:numId w:val="6"/>
              </w:numPr>
              <w:spacing w:before="100" w:beforeAutospacing="1" w:after="100" w:afterAutospacing="1"/>
              <w:ind w:left="0"/>
              <w:jc w:val="both"/>
              <w:rPr>
                <w:rFonts w:eastAsia="Times New Roman" w:cstheme="minorHAnsi"/>
                <w:bCs/>
                <w:color w:val="000000"/>
                <w:lang w:val="en-US"/>
              </w:rPr>
            </w:pPr>
            <w:r w:rsidRPr="00B34782">
              <w:rPr>
                <w:rFonts w:eastAsia="Times New Roman" w:cstheme="minorHAnsi"/>
                <w:bCs/>
                <w:color w:val="000000"/>
                <w:lang w:val="en-US"/>
              </w:rPr>
              <w:t>126(I)/2019</w:t>
            </w:r>
          </w:p>
          <w:p w14:paraId="1B1990E2" w14:textId="77777777" w:rsidR="00722863" w:rsidRPr="00B34782" w:rsidRDefault="00722863" w:rsidP="00722863">
            <w:pPr>
              <w:numPr>
                <w:ilvl w:val="0"/>
                <w:numId w:val="6"/>
              </w:numPr>
              <w:spacing w:before="100" w:beforeAutospacing="1" w:after="100" w:afterAutospacing="1"/>
              <w:ind w:left="0"/>
              <w:jc w:val="both"/>
              <w:rPr>
                <w:rFonts w:eastAsia="Times New Roman" w:cstheme="minorHAnsi"/>
                <w:bCs/>
                <w:color w:val="000000"/>
                <w:lang w:val="en-US"/>
              </w:rPr>
            </w:pPr>
            <w:r w:rsidRPr="00B34782">
              <w:rPr>
                <w:rFonts w:eastAsia="Times New Roman" w:cstheme="minorHAnsi"/>
                <w:bCs/>
                <w:color w:val="000000"/>
                <w:lang w:val="en-US"/>
              </w:rPr>
              <w:t>194(I)/2020</w:t>
            </w:r>
          </w:p>
          <w:p w14:paraId="3ED7EFF7" w14:textId="77777777" w:rsidR="00722863" w:rsidRPr="00B34782" w:rsidRDefault="00722863" w:rsidP="00722863">
            <w:pPr>
              <w:numPr>
                <w:ilvl w:val="0"/>
                <w:numId w:val="6"/>
              </w:numPr>
              <w:spacing w:before="100" w:beforeAutospacing="1" w:after="100" w:afterAutospacing="1"/>
              <w:ind w:left="0"/>
              <w:jc w:val="both"/>
              <w:rPr>
                <w:rFonts w:eastAsia="Times New Roman" w:cstheme="minorHAnsi"/>
                <w:bCs/>
                <w:color w:val="000000"/>
                <w:lang w:val="en-US"/>
              </w:rPr>
            </w:pPr>
            <w:r w:rsidRPr="00B34782">
              <w:rPr>
                <w:rFonts w:eastAsia="Times New Roman" w:cstheme="minorHAnsi"/>
                <w:bCs/>
                <w:color w:val="000000"/>
                <w:lang w:val="en-US"/>
              </w:rPr>
              <w:t>88(I)/2021</w:t>
            </w:r>
          </w:p>
          <w:p w14:paraId="7D1DA39A" w14:textId="77777777" w:rsidR="00722863" w:rsidRPr="00B34782" w:rsidRDefault="00722863" w:rsidP="00722863">
            <w:pPr>
              <w:numPr>
                <w:ilvl w:val="0"/>
                <w:numId w:val="6"/>
              </w:numPr>
              <w:spacing w:before="100" w:beforeAutospacing="1" w:after="100" w:afterAutospacing="1"/>
              <w:ind w:left="0"/>
              <w:jc w:val="both"/>
              <w:rPr>
                <w:rFonts w:eastAsia="Times New Roman" w:cstheme="minorHAnsi"/>
                <w:bCs/>
                <w:color w:val="000000"/>
                <w:lang w:val="en-US"/>
              </w:rPr>
            </w:pPr>
            <w:r w:rsidRPr="00B34782">
              <w:rPr>
                <w:rFonts w:eastAsia="Times New Roman" w:cstheme="minorHAnsi"/>
                <w:bCs/>
                <w:color w:val="000000"/>
                <w:lang w:val="en-US"/>
              </w:rPr>
              <w:t>101(I)/202</w:t>
            </w:r>
          </w:p>
          <w:p w14:paraId="751A5915" w14:textId="03F6B1A5" w:rsidR="00722863" w:rsidRPr="00205BC2" w:rsidRDefault="00722863" w:rsidP="00722863">
            <w:pPr>
              <w:numPr>
                <w:ilvl w:val="0"/>
                <w:numId w:val="6"/>
              </w:numPr>
              <w:spacing w:before="100" w:beforeAutospacing="1" w:after="100" w:afterAutospacing="1"/>
              <w:ind w:left="0"/>
              <w:rPr>
                <w:rFonts w:eastAsia="Times New Roman" w:cstheme="minorHAnsi"/>
                <w:color w:val="000000"/>
                <w:lang w:val="en-US"/>
              </w:rPr>
            </w:pPr>
            <w:r w:rsidRPr="00205BC2">
              <w:rPr>
                <w:rFonts w:eastAsia="Times New Roman" w:cstheme="minorHAnsi"/>
                <w:color w:val="000000"/>
                <w:lang w:val="en-US"/>
              </w:rPr>
              <w:t>168(I)/2021</w:t>
            </w:r>
          </w:p>
          <w:p w14:paraId="0ED86A80" w14:textId="77777777" w:rsidR="00722863" w:rsidRPr="00205BC2" w:rsidRDefault="00722863" w:rsidP="00722863">
            <w:pPr>
              <w:numPr>
                <w:ilvl w:val="0"/>
                <w:numId w:val="6"/>
              </w:numPr>
              <w:spacing w:before="100" w:beforeAutospacing="1" w:after="100" w:afterAutospacing="1"/>
              <w:ind w:left="0"/>
              <w:rPr>
                <w:rFonts w:eastAsia="Times New Roman" w:cstheme="minorHAnsi"/>
                <w:color w:val="000000"/>
                <w:lang w:val="en-US"/>
              </w:rPr>
            </w:pPr>
            <w:r w:rsidRPr="00205BC2">
              <w:rPr>
                <w:rFonts w:eastAsia="Times New Roman" w:cstheme="minorHAnsi"/>
                <w:color w:val="000000"/>
                <w:lang w:val="en-US"/>
              </w:rPr>
              <w:t>44(I)/2022</w:t>
            </w:r>
          </w:p>
          <w:p w14:paraId="1F7A6B52" w14:textId="77777777" w:rsidR="00722863" w:rsidRPr="00205BC2" w:rsidRDefault="00722863" w:rsidP="00722863">
            <w:pPr>
              <w:numPr>
                <w:ilvl w:val="0"/>
                <w:numId w:val="6"/>
              </w:numPr>
              <w:spacing w:before="100" w:beforeAutospacing="1" w:after="100" w:afterAutospacing="1"/>
              <w:ind w:left="0"/>
              <w:rPr>
                <w:rFonts w:eastAsia="Times New Roman" w:cstheme="minorHAnsi"/>
                <w:color w:val="000000"/>
                <w:lang w:val="en-US"/>
              </w:rPr>
            </w:pPr>
            <w:r w:rsidRPr="00205BC2">
              <w:rPr>
                <w:rFonts w:eastAsia="Times New Roman" w:cstheme="minorHAnsi"/>
                <w:color w:val="000000"/>
                <w:lang w:val="en-US"/>
              </w:rPr>
              <w:t>81(I)/2022</w:t>
            </w:r>
          </w:p>
          <w:p w14:paraId="3673F2D2" w14:textId="77777777" w:rsidR="00722863" w:rsidRDefault="00722863" w:rsidP="00722863">
            <w:pPr>
              <w:numPr>
                <w:ilvl w:val="0"/>
                <w:numId w:val="6"/>
              </w:numPr>
              <w:ind w:left="0" w:hanging="357"/>
              <w:rPr>
                <w:rFonts w:eastAsia="Times New Roman" w:cstheme="minorHAnsi"/>
                <w:color w:val="000000"/>
                <w:lang w:val="en-US"/>
              </w:rPr>
            </w:pPr>
            <w:r w:rsidRPr="00205BC2">
              <w:rPr>
                <w:rFonts w:eastAsia="Times New Roman" w:cstheme="minorHAnsi"/>
                <w:color w:val="000000"/>
                <w:lang w:val="en-US"/>
              </w:rPr>
              <w:t>150(I)/2022</w:t>
            </w:r>
          </w:p>
          <w:p w14:paraId="14576555" w14:textId="19372773" w:rsidR="00722863" w:rsidRDefault="00722863" w:rsidP="00722863">
            <w:pPr>
              <w:rPr>
                <w:lang w:val="el-GR"/>
              </w:rPr>
            </w:pPr>
            <w:r w:rsidRPr="00B46565">
              <w:rPr>
                <w:rFonts w:eastAsia="Times New Roman" w:cstheme="minorHAnsi"/>
                <w:bCs/>
                <w:color w:val="000000"/>
                <w:lang w:val="el-GR"/>
              </w:rPr>
              <w:t>ΔΙΟΡΘ. Ε.Ε. Παρ.Ι(Ι), Αρ. 4727, 4.10.2019</w:t>
            </w:r>
            <w:r w:rsidRPr="0031146E">
              <w:rPr>
                <w:rFonts w:eastAsia="Times New Roman" w:cstheme="minorHAnsi"/>
                <w:color w:val="000000"/>
                <w:lang w:val="el-GR"/>
              </w:rPr>
              <w:t>.</w:t>
            </w:r>
          </w:p>
        </w:tc>
        <w:tc>
          <w:tcPr>
            <w:tcW w:w="8363" w:type="dxa"/>
          </w:tcPr>
          <w:p w14:paraId="728F33DE" w14:textId="07FE2BB6" w:rsidR="00722863" w:rsidRPr="00722863" w:rsidRDefault="00722863" w:rsidP="00722863">
            <w:pPr>
              <w:pStyle w:val="ListParagraph"/>
              <w:numPr>
                <w:ilvl w:val="0"/>
                <w:numId w:val="2"/>
              </w:numPr>
              <w:ind w:left="316" w:hanging="283"/>
              <w:jc w:val="both"/>
              <w:rPr>
                <w:rFonts w:ascii="Arial" w:hAnsi="Arial" w:cs="Arial"/>
                <w:sz w:val="20"/>
                <w:szCs w:val="20"/>
              </w:rPr>
            </w:pPr>
            <w:r w:rsidRPr="00722863">
              <w:rPr>
                <w:rFonts w:ascii="Arial" w:hAnsi="Arial" w:cs="Arial"/>
                <w:sz w:val="20"/>
                <w:szCs w:val="20"/>
              </w:rPr>
              <w:t xml:space="preserve">(1) Η ηλικία συνταξιοδότησης του αποταμιευτή PEPP είναι η συντάξιμη ηλικία </w:t>
            </w:r>
            <w:bookmarkStart w:id="0" w:name="_Hlk121996708"/>
            <w:r w:rsidRPr="00722863">
              <w:rPr>
                <w:rFonts w:ascii="Arial" w:hAnsi="Arial" w:cs="Arial"/>
                <w:sz w:val="20"/>
                <w:szCs w:val="20"/>
              </w:rPr>
              <w:t>σύμφωνα με τις πρόνοιες του</w:t>
            </w:r>
            <w:bookmarkEnd w:id="0"/>
            <w:r w:rsidRPr="00722863">
              <w:rPr>
                <w:rFonts w:ascii="Arial" w:hAnsi="Arial" w:cs="Arial"/>
                <w:sz w:val="20"/>
                <w:szCs w:val="20"/>
              </w:rPr>
              <w:t xml:space="preserve"> εδάφιου (1) του άρθρου 2 του περί Κοινωνικών Ασφαλίσεων Νόμου.  </w:t>
            </w:r>
          </w:p>
          <w:p w14:paraId="14C27F3D" w14:textId="6F61BD1C" w:rsidR="00722863" w:rsidRPr="00722863" w:rsidRDefault="00722863" w:rsidP="00722863">
            <w:pPr>
              <w:ind w:left="315"/>
              <w:jc w:val="both"/>
              <w:rPr>
                <w:lang w:val="el-GR"/>
              </w:rPr>
            </w:pPr>
            <w:r>
              <w:rPr>
                <w:lang w:val="el-GR"/>
              </w:rPr>
              <w:t xml:space="preserve">(2) </w:t>
            </w:r>
            <w:r w:rsidRPr="00722863">
              <w:rPr>
                <w:lang w:val="el-GR"/>
              </w:rPr>
              <w:t>Η ηλικία πρόωρης συνταξιοδότησης είναι η ηλικία από την οποί</w:t>
            </w:r>
            <w:r>
              <w:rPr>
                <w:lang w:val="el-GR"/>
              </w:rPr>
              <w:t>α</w:t>
            </w:r>
            <w:r w:rsidRPr="00722863">
              <w:rPr>
                <w:lang w:val="el-GR"/>
              </w:rPr>
              <w:t xml:space="preserve"> ένας ασφαλισμένος δικαιούται να λάβει αναλογιστικά μειωμένη σύνταξη δυνάμει του περί Κοινωνικών Ασφαλίσεων Νόμου.</w:t>
            </w:r>
          </w:p>
        </w:tc>
      </w:tr>
      <w:tr w:rsidR="00722863" w:rsidRPr="0009627B" w14:paraId="0888D9C9" w14:textId="77777777" w:rsidTr="00300554">
        <w:tc>
          <w:tcPr>
            <w:tcW w:w="1843" w:type="dxa"/>
          </w:tcPr>
          <w:p w14:paraId="0860DEA7" w14:textId="7DE808D8" w:rsidR="00722863" w:rsidRDefault="00722863" w:rsidP="00722863">
            <w:pPr>
              <w:rPr>
                <w:lang w:val="el-GR"/>
              </w:rPr>
            </w:pPr>
            <w:r w:rsidRPr="00033584">
              <w:rPr>
                <w:lang w:val="el-GR"/>
              </w:rPr>
              <w:t>Προϋποθέσεις πληρωμής παροχ</w:t>
            </w:r>
            <w:r>
              <w:rPr>
                <w:lang w:val="el-GR"/>
              </w:rPr>
              <w:t>ών</w:t>
            </w:r>
            <w:r w:rsidR="0009627B">
              <w:rPr>
                <w:lang w:val="el-GR"/>
              </w:rPr>
              <w:t>.</w:t>
            </w:r>
            <w:r>
              <w:rPr>
                <w:lang w:val="el-GR"/>
              </w:rPr>
              <w:t xml:space="preserve"> </w:t>
            </w:r>
          </w:p>
        </w:tc>
        <w:tc>
          <w:tcPr>
            <w:tcW w:w="8363" w:type="dxa"/>
          </w:tcPr>
          <w:p w14:paraId="2CAFBE75" w14:textId="77777777" w:rsidR="00722863" w:rsidRPr="00722863" w:rsidRDefault="00722863" w:rsidP="00722863">
            <w:pPr>
              <w:pStyle w:val="ListParagraph"/>
              <w:numPr>
                <w:ilvl w:val="0"/>
                <w:numId w:val="2"/>
              </w:numPr>
              <w:ind w:left="457" w:hanging="457"/>
              <w:jc w:val="both"/>
              <w:rPr>
                <w:rFonts w:ascii="Arial" w:hAnsi="Arial" w:cs="Arial"/>
                <w:sz w:val="20"/>
                <w:szCs w:val="20"/>
              </w:rPr>
            </w:pPr>
            <w:r w:rsidRPr="00722863">
              <w:rPr>
                <w:rFonts w:ascii="Arial" w:hAnsi="Arial" w:cs="Arial"/>
                <w:sz w:val="20"/>
                <w:szCs w:val="20"/>
              </w:rPr>
              <w:t>(1) Ο αποταμιευτής PEPP αποκτά δικαίωμα για συνταξιοδοτική παροχή όταν ικανοποιούνται οι ακόλουθες προϋποθέσεις-</w:t>
            </w:r>
          </w:p>
          <w:p w14:paraId="02A5EC6A" w14:textId="2A1E33D5" w:rsidR="00722863" w:rsidRDefault="00722863" w:rsidP="00562EF2">
            <w:pPr>
              <w:ind w:left="457"/>
              <w:jc w:val="both"/>
              <w:rPr>
                <w:lang w:val="el-GR"/>
              </w:rPr>
            </w:pPr>
            <w:r w:rsidRPr="00B46565">
              <w:rPr>
                <w:lang w:val="el-GR"/>
              </w:rPr>
              <w:t>(α) έχει συμπληρώσει την ηλικία συνταξιοδότησης ή</w:t>
            </w:r>
          </w:p>
          <w:p w14:paraId="63B74612" w14:textId="09081CA0" w:rsidR="00722863" w:rsidRDefault="00722863" w:rsidP="00562EF2">
            <w:pPr>
              <w:ind w:left="457"/>
              <w:jc w:val="both"/>
              <w:rPr>
                <w:lang w:val="el-GR"/>
              </w:rPr>
            </w:pPr>
          </w:p>
          <w:p w14:paraId="173ED1D0" w14:textId="3B2D3FA2" w:rsidR="00722863" w:rsidRDefault="00562EF2" w:rsidP="00562EF2">
            <w:pPr>
              <w:ind w:left="457"/>
              <w:jc w:val="both"/>
              <w:rPr>
                <w:lang w:val="el-GR"/>
              </w:rPr>
            </w:pPr>
            <w:r w:rsidRPr="00562EF2">
              <w:rPr>
                <w:lang w:val="el-GR"/>
              </w:rPr>
              <w:t>(</w:t>
            </w:r>
            <w:r>
              <w:rPr>
                <w:lang w:val="el-GR"/>
              </w:rPr>
              <w:t>β</w:t>
            </w:r>
            <w:r w:rsidRPr="00562EF2">
              <w:rPr>
                <w:lang w:val="el-GR"/>
              </w:rPr>
              <w:t>)</w:t>
            </w:r>
            <w:r>
              <w:rPr>
                <w:lang w:val="el-GR"/>
              </w:rPr>
              <w:t xml:space="preserve"> έχει συμπληρώσει την ηλικία πρόωρης συνταξιοδότησης και επιλέγει να λάβει αναλογιστικά μειωμένη σύνταξη δυνάμει του Άρθρου 35Α του περί Κοινωνικών Ασφαλίσεων Νόμου</w:t>
            </w:r>
          </w:p>
          <w:p w14:paraId="51EF0C3B" w14:textId="5AB5203A" w:rsidR="00562EF2" w:rsidRDefault="00562EF2" w:rsidP="00562EF2">
            <w:pPr>
              <w:ind w:left="457"/>
              <w:jc w:val="both"/>
              <w:rPr>
                <w:lang w:val="el-GR"/>
              </w:rPr>
            </w:pPr>
          </w:p>
          <w:p w14:paraId="71A24761" w14:textId="38046C3C" w:rsidR="00562EF2" w:rsidRPr="009A0497" w:rsidRDefault="00562EF2" w:rsidP="00562EF2">
            <w:pPr>
              <w:ind w:left="457"/>
              <w:jc w:val="both"/>
              <w:rPr>
                <w:lang w:val="el-GR"/>
              </w:rPr>
            </w:pPr>
            <w:r>
              <w:rPr>
                <w:lang w:val="el-GR"/>
              </w:rPr>
              <w:t xml:space="preserve">(γ) έχει καταστεί μόνιμα ανίκανος/η για εργασία, </w:t>
            </w:r>
            <w:r w:rsidR="0094401B" w:rsidRPr="0094401B">
              <w:rPr>
                <w:lang w:val="el-GR"/>
              </w:rPr>
              <w:t>σύμφωνα με τις πρόνοιες του</w:t>
            </w:r>
            <w:r w:rsidR="0094401B">
              <w:rPr>
                <w:lang w:val="el-GR"/>
              </w:rPr>
              <w:t xml:space="preserve"> άρθρου 40 του</w:t>
            </w:r>
            <w:r>
              <w:rPr>
                <w:lang w:val="el-GR"/>
              </w:rPr>
              <w:t xml:space="preserve"> περί Κοινωνικών Ασφαλίσεων Νόμο</w:t>
            </w:r>
            <w:r w:rsidR="0094401B">
              <w:rPr>
                <w:lang w:val="el-GR"/>
              </w:rPr>
              <w:t>υ</w:t>
            </w:r>
            <w:r>
              <w:rPr>
                <w:lang w:val="el-GR"/>
              </w:rPr>
              <w:t xml:space="preserve"> και λαμβάνει σύνταξη ανικανότητας από το Ταμείο Κοινωνικών Ασφαλίσεων.</w:t>
            </w:r>
          </w:p>
          <w:p w14:paraId="374BEFE3" w14:textId="773EB7AB" w:rsidR="00562EF2" w:rsidRDefault="00562EF2" w:rsidP="00722863">
            <w:pPr>
              <w:ind w:left="357"/>
              <w:jc w:val="both"/>
              <w:rPr>
                <w:lang w:val="el-GR"/>
              </w:rPr>
            </w:pPr>
          </w:p>
          <w:p w14:paraId="4A6E6797" w14:textId="62805083" w:rsidR="00722863" w:rsidRPr="005015CF" w:rsidRDefault="00562EF2" w:rsidP="005015CF">
            <w:pPr>
              <w:pStyle w:val="ListParagraph"/>
              <w:ind w:left="457"/>
              <w:jc w:val="both"/>
              <w:rPr>
                <w:rFonts w:ascii="Arial" w:hAnsi="Arial" w:cs="Arial"/>
                <w:sz w:val="20"/>
                <w:szCs w:val="20"/>
              </w:rPr>
            </w:pPr>
            <w:r w:rsidRPr="00722863">
              <w:rPr>
                <w:rFonts w:ascii="Arial" w:hAnsi="Arial" w:cs="Arial"/>
                <w:sz w:val="20"/>
                <w:szCs w:val="20"/>
              </w:rPr>
              <w:t>(</w:t>
            </w:r>
            <w:r>
              <w:rPr>
                <w:rFonts w:ascii="Arial" w:hAnsi="Arial" w:cs="Arial"/>
                <w:sz w:val="20"/>
                <w:szCs w:val="20"/>
              </w:rPr>
              <w:t>2</w:t>
            </w:r>
            <w:r w:rsidRPr="00722863">
              <w:rPr>
                <w:rFonts w:ascii="Arial" w:hAnsi="Arial" w:cs="Arial"/>
                <w:sz w:val="20"/>
                <w:szCs w:val="20"/>
              </w:rPr>
              <w:t xml:space="preserve">) </w:t>
            </w:r>
            <w:r>
              <w:rPr>
                <w:rFonts w:ascii="Arial" w:hAnsi="Arial" w:cs="Arial"/>
                <w:sz w:val="20"/>
                <w:szCs w:val="20"/>
              </w:rPr>
              <w:t xml:space="preserve">Στην περίπτωση θανάτου κατά τη φάση συσσώρευσης, η συνταξιοδοτική παροχή πληρώνεται στους νόμιμους κληρονόμους του αποταμιευτή </w:t>
            </w:r>
            <w:r>
              <w:rPr>
                <w:rFonts w:ascii="Arial" w:hAnsi="Arial" w:cs="Arial"/>
                <w:sz w:val="20"/>
                <w:szCs w:val="20"/>
                <w:lang w:val="en-GB"/>
              </w:rPr>
              <w:t>PEPP</w:t>
            </w:r>
            <w:r w:rsidRPr="00562EF2">
              <w:rPr>
                <w:rFonts w:ascii="Arial" w:hAnsi="Arial" w:cs="Arial"/>
                <w:sz w:val="20"/>
                <w:szCs w:val="20"/>
              </w:rPr>
              <w:t xml:space="preserve">. </w:t>
            </w:r>
          </w:p>
        </w:tc>
      </w:tr>
      <w:tr w:rsidR="005015CF" w:rsidRPr="0009627B" w14:paraId="51AABF9C" w14:textId="77777777" w:rsidTr="00300554">
        <w:tc>
          <w:tcPr>
            <w:tcW w:w="1843" w:type="dxa"/>
          </w:tcPr>
          <w:p w14:paraId="6B36B9AE" w14:textId="41B2A81C" w:rsidR="005015CF" w:rsidRPr="00722863" w:rsidRDefault="005015CF" w:rsidP="005015CF">
            <w:pPr>
              <w:rPr>
                <w:rFonts w:ascii="EU Albertina" w:eastAsia="Times New Roman" w:hAnsi="EU Albertina" w:cstheme="minorHAnsi"/>
                <w:color w:val="000000"/>
                <w:lang w:val="el-GR"/>
              </w:rPr>
            </w:pPr>
            <w:r w:rsidRPr="005015CF">
              <w:rPr>
                <w:lang w:val="el-GR"/>
              </w:rPr>
              <w:t>Μορφές Παροχών PEPP</w:t>
            </w:r>
            <w:r w:rsidR="0009627B">
              <w:rPr>
                <w:lang w:val="el-GR"/>
              </w:rPr>
              <w:t>.</w:t>
            </w:r>
          </w:p>
        </w:tc>
        <w:tc>
          <w:tcPr>
            <w:tcW w:w="8363" w:type="dxa"/>
          </w:tcPr>
          <w:p w14:paraId="2027350B" w14:textId="446598D6" w:rsidR="005015CF" w:rsidRPr="005015CF" w:rsidRDefault="005015CF" w:rsidP="005015CF">
            <w:pPr>
              <w:pStyle w:val="ListParagraph"/>
              <w:numPr>
                <w:ilvl w:val="0"/>
                <w:numId w:val="2"/>
              </w:numPr>
              <w:ind w:left="457" w:hanging="457"/>
              <w:jc w:val="both"/>
              <w:rPr>
                <w:rFonts w:ascii="Arial" w:hAnsi="Arial" w:cs="Arial"/>
                <w:sz w:val="20"/>
                <w:szCs w:val="20"/>
              </w:rPr>
            </w:pPr>
            <w:r w:rsidRPr="005015CF">
              <w:rPr>
                <w:rFonts w:ascii="Arial" w:hAnsi="Arial" w:cs="Arial"/>
                <w:sz w:val="20"/>
                <w:szCs w:val="20"/>
              </w:rPr>
              <w:t xml:space="preserve">(1) Ο πάροχος ενός PEPP έχει το δικαίωμα να πληρώσει τις συνταξιοδοτικές παροχές στις ακόλουθες μορφές- </w:t>
            </w:r>
          </w:p>
          <w:p w14:paraId="1B2ABBE4" w14:textId="77777777" w:rsidR="005015CF" w:rsidRPr="005015CF" w:rsidRDefault="005015CF" w:rsidP="005015CF">
            <w:pPr>
              <w:ind w:left="457"/>
              <w:jc w:val="both"/>
              <w:rPr>
                <w:lang w:val="el-GR"/>
              </w:rPr>
            </w:pPr>
            <w:r w:rsidRPr="005015CF">
              <w:rPr>
                <w:lang w:val="el-GR"/>
              </w:rPr>
              <w:t>(α) εφάπαξ πληρωμή ή</w:t>
            </w:r>
          </w:p>
          <w:p w14:paraId="5176EBF3" w14:textId="77777777" w:rsidR="005015CF" w:rsidRPr="005015CF" w:rsidRDefault="005015CF" w:rsidP="005015CF">
            <w:pPr>
              <w:ind w:left="457"/>
              <w:jc w:val="both"/>
              <w:rPr>
                <w:lang w:val="el-GR"/>
              </w:rPr>
            </w:pPr>
          </w:p>
          <w:p w14:paraId="5A46A61D" w14:textId="77777777" w:rsidR="005015CF" w:rsidRPr="005015CF" w:rsidRDefault="005015CF" w:rsidP="005015CF">
            <w:pPr>
              <w:ind w:left="457"/>
              <w:jc w:val="both"/>
              <w:rPr>
                <w:lang w:val="el-GR"/>
              </w:rPr>
            </w:pPr>
            <w:r w:rsidRPr="005015CF">
              <w:rPr>
                <w:lang w:val="el-GR"/>
              </w:rPr>
              <w:t>(β) περιοδική ανάληψη ή</w:t>
            </w:r>
          </w:p>
          <w:p w14:paraId="635F8265" w14:textId="77777777" w:rsidR="005015CF" w:rsidRPr="005015CF" w:rsidRDefault="005015CF" w:rsidP="005015CF">
            <w:pPr>
              <w:ind w:left="457"/>
              <w:jc w:val="both"/>
              <w:rPr>
                <w:lang w:val="el-GR"/>
              </w:rPr>
            </w:pPr>
          </w:p>
          <w:p w14:paraId="621A510E" w14:textId="77777777" w:rsidR="005015CF" w:rsidRPr="005015CF" w:rsidRDefault="005015CF" w:rsidP="005015CF">
            <w:pPr>
              <w:ind w:left="457"/>
              <w:jc w:val="both"/>
              <w:rPr>
                <w:lang w:val="el-GR"/>
              </w:rPr>
            </w:pPr>
            <w:r w:rsidRPr="005015CF">
              <w:rPr>
                <w:lang w:val="el-GR"/>
              </w:rPr>
              <w:t>(γ) ετήσια πρόσοδο ή</w:t>
            </w:r>
          </w:p>
          <w:p w14:paraId="26A4634C" w14:textId="77777777" w:rsidR="005015CF" w:rsidRPr="005015CF" w:rsidRDefault="005015CF" w:rsidP="005015CF">
            <w:pPr>
              <w:ind w:left="457"/>
              <w:jc w:val="both"/>
              <w:rPr>
                <w:lang w:val="el-GR"/>
              </w:rPr>
            </w:pPr>
          </w:p>
          <w:p w14:paraId="0B8232F4" w14:textId="77777777" w:rsidR="005015CF" w:rsidRPr="005015CF" w:rsidRDefault="005015CF" w:rsidP="005015CF">
            <w:pPr>
              <w:ind w:left="457"/>
              <w:jc w:val="both"/>
              <w:rPr>
                <w:lang w:val="el-GR"/>
              </w:rPr>
            </w:pPr>
            <w:r w:rsidRPr="005015CF">
              <w:rPr>
                <w:lang w:val="el-GR"/>
              </w:rPr>
              <w:t xml:space="preserve">(δ) συνδυασμούς των ανωτέρω μορφών. </w:t>
            </w:r>
          </w:p>
          <w:p w14:paraId="1CE9740A" w14:textId="77777777" w:rsidR="005015CF" w:rsidRPr="005015CF" w:rsidRDefault="005015CF" w:rsidP="005015CF">
            <w:pPr>
              <w:ind w:left="32"/>
              <w:jc w:val="both"/>
              <w:rPr>
                <w:lang w:val="el-GR"/>
              </w:rPr>
            </w:pPr>
          </w:p>
          <w:p w14:paraId="43155C5B" w14:textId="77777777" w:rsidR="005015CF" w:rsidRPr="005015CF" w:rsidRDefault="005015CF" w:rsidP="005015CF">
            <w:pPr>
              <w:ind w:left="457"/>
              <w:jc w:val="both"/>
              <w:rPr>
                <w:lang w:val="el-GR"/>
              </w:rPr>
            </w:pPr>
            <w:r w:rsidRPr="005015CF">
              <w:rPr>
                <w:lang w:val="el-GR"/>
              </w:rPr>
              <w:t xml:space="preserve">(2) Στην περίπτωση επιλογής της πληρωμής της συνταξιοδοτικής παροχής με περιοδικές αναλήψεις, ο αποταμιευτής </w:t>
            </w:r>
            <w:r w:rsidRPr="005015CF">
              <w:rPr>
                <w:lang w:val="en-GB"/>
              </w:rPr>
              <w:t>PEPP</w:t>
            </w:r>
            <w:r w:rsidRPr="005015CF">
              <w:rPr>
                <w:lang w:val="el-GR"/>
              </w:rPr>
              <w:t xml:space="preserve"> καθορίζει τη συχνότητα των αναλήψεων και το ποσό της κάθε ανάληψης. </w:t>
            </w:r>
          </w:p>
          <w:p w14:paraId="2584D5CB" w14:textId="77777777" w:rsidR="005015CF" w:rsidRPr="005015CF" w:rsidRDefault="005015CF" w:rsidP="005015CF">
            <w:pPr>
              <w:ind w:left="457"/>
              <w:jc w:val="both"/>
              <w:rPr>
                <w:lang w:val="el-GR"/>
              </w:rPr>
            </w:pPr>
          </w:p>
          <w:p w14:paraId="740A9234" w14:textId="77777777" w:rsidR="005015CF" w:rsidRPr="005015CF" w:rsidRDefault="005015CF" w:rsidP="005015CF">
            <w:pPr>
              <w:ind w:left="457"/>
              <w:jc w:val="both"/>
              <w:rPr>
                <w:lang w:val="el-GR"/>
              </w:rPr>
            </w:pPr>
            <w:r w:rsidRPr="005015CF">
              <w:rPr>
                <w:lang w:val="el-GR"/>
              </w:rPr>
              <w:t>(3) Στην περίπτωση των ετήσιων προσόδων, η κάλυψη παρέχεται μόνο μέσω της συνεργασίας με ασφαλιστικές επιχειρήσεις που μπορούν να καλύψουν βιομετρικούς κινδύνους, σύμφωνα με το εφαρμοστέο σε αυτές τομεακό δίκαιο. Η ασφαλιστική επιχείρηση είναι πλήρως υπεύθυνη για την κάλυψη των βιομετρικών κινδύνων.</w:t>
            </w:r>
          </w:p>
          <w:p w14:paraId="5497BD57" w14:textId="77777777" w:rsidR="005015CF" w:rsidRPr="005015CF" w:rsidRDefault="005015CF" w:rsidP="005015CF">
            <w:pPr>
              <w:ind w:left="457"/>
              <w:jc w:val="both"/>
              <w:rPr>
                <w:lang w:val="el-GR"/>
              </w:rPr>
            </w:pPr>
          </w:p>
          <w:p w14:paraId="5C479489" w14:textId="01AC377B" w:rsidR="005015CF" w:rsidRPr="00C778D2" w:rsidRDefault="005015CF" w:rsidP="005015CF">
            <w:pPr>
              <w:ind w:left="457"/>
              <w:jc w:val="both"/>
              <w:rPr>
                <w:lang w:val="el-GR"/>
              </w:rPr>
            </w:pPr>
            <w:r w:rsidRPr="00C778D2">
              <w:rPr>
                <w:lang w:val="el-GR"/>
              </w:rPr>
              <w:t xml:space="preserve">(4) Σε περίπτωση θανάτου του αποταμιευτή </w:t>
            </w:r>
            <w:r w:rsidRPr="00C778D2">
              <w:rPr>
                <w:lang w:val="en-GB"/>
              </w:rPr>
              <w:t>PEPP</w:t>
            </w:r>
            <w:r w:rsidRPr="00C778D2">
              <w:rPr>
                <w:lang w:val="el-GR"/>
              </w:rPr>
              <w:t xml:space="preserve">, οποιοδήποτε πιστωτικό υπόλοιπο του λογαριασμού του, κατά την ημερομηνία του θανάτου του, καταβάλλεται στους νόμιμους κληρονόμους του. Στην περίπτωση όπου προκύπτουν φορολογικές υποχρεώσεις του αποθανών, το </w:t>
            </w:r>
            <w:r w:rsidRPr="00C778D2">
              <w:rPr>
                <w:lang w:val="en-GB"/>
              </w:rPr>
              <w:t>PEPP</w:t>
            </w:r>
            <w:r w:rsidRPr="00C778D2">
              <w:rPr>
                <w:lang w:val="el-GR"/>
              </w:rPr>
              <w:t xml:space="preserve"> διατηρεί το δικαίωμα να χρεώσει διαχειριστικά έξοδα</w:t>
            </w:r>
            <w:r w:rsidR="0015459E" w:rsidRPr="00C778D2">
              <w:rPr>
                <w:lang w:val="el-GR"/>
              </w:rPr>
              <w:t>, εάν δικαιολογούνται, για τυχόν διοικητικές πράξεις με το</w:t>
            </w:r>
            <w:r w:rsidR="0041388F" w:rsidRPr="00C778D2">
              <w:rPr>
                <w:lang w:val="el-GR"/>
              </w:rPr>
              <w:t>Τμήμα Φορολογίας.</w:t>
            </w:r>
            <w:r w:rsidR="0015459E" w:rsidRPr="00C778D2">
              <w:rPr>
                <w:lang w:val="el-GR"/>
              </w:rPr>
              <w:t xml:space="preserve"> </w:t>
            </w:r>
          </w:p>
          <w:p w14:paraId="5B93D6F8" w14:textId="77777777" w:rsidR="005015CF" w:rsidRPr="005015CF" w:rsidRDefault="005015CF" w:rsidP="005015CF">
            <w:pPr>
              <w:jc w:val="center"/>
              <w:rPr>
                <w:lang w:val="el-GR"/>
              </w:rPr>
            </w:pPr>
          </w:p>
        </w:tc>
      </w:tr>
      <w:tr w:rsidR="005015CF" w:rsidRPr="0009627B" w14:paraId="27FC1C68" w14:textId="77777777" w:rsidTr="00300554">
        <w:tc>
          <w:tcPr>
            <w:tcW w:w="1843" w:type="dxa"/>
          </w:tcPr>
          <w:p w14:paraId="73F670D8" w14:textId="4AD753B2" w:rsidR="005015CF" w:rsidRPr="00722863" w:rsidRDefault="005015CF" w:rsidP="005015CF">
            <w:pPr>
              <w:numPr>
                <w:ilvl w:val="0"/>
                <w:numId w:val="4"/>
              </w:numPr>
              <w:spacing w:before="100" w:beforeAutospacing="1" w:after="100" w:afterAutospacing="1"/>
              <w:ind w:left="0"/>
              <w:rPr>
                <w:rFonts w:eastAsia="Times New Roman" w:cstheme="minorHAnsi"/>
                <w:color w:val="000000"/>
                <w:lang w:val="el-GR"/>
              </w:rPr>
            </w:pPr>
            <w:r>
              <w:rPr>
                <w:lang w:val="el-GR"/>
              </w:rPr>
              <w:t>Τροποποιήσεις των μορφών πληρωμών</w:t>
            </w:r>
            <w:r w:rsidR="0009627B">
              <w:rPr>
                <w:lang w:val="el-GR"/>
              </w:rPr>
              <w:t>.</w:t>
            </w:r>
          </w:p>
        </w:tc>
        <w:tc>
          <w:tcPr>
            <w:tcW w:w="8363" w:type="dxa"/>
          </w:tcPr>
          <w:p w14:paraId="2D9B275B" w14:textId="77777777" w:rsidR="005015CF" w:rsidRPr="005015CF" w:rsidRDefault="005015CF" w:rsidP="005015CF">
            <w:pPr>
              <w:pStyle w:val="ListParagraph"/>
              <w:numPr>
                <w:ilvl w:val="0"/>
                <w:numId w:val="2"/>
              </w:numPr>
              <w:ind w:left="457" w:hanging="457"/>
              <w:jc w:val="both"/>
              <w:rPr>
                <w:rFonts w:ascii="Arial" w:hAnsi="Arial" w:cs="Arial"/>
                <w:sz w:val="20"/>
                <w:szCs w:val="20"/>
              </w:rPr>
            </w:pPr>
            <w:r w:rsidRPr="005015CF">
              <w:rPr>
                <w:rFonts w:ascii="Arial" w:hAnsi="Arial" w:cs="Arial"/>
                <w:sz w:val="20"/>
                <w:szCs w:val="20"/>
              </w:rPr>
              <w:t>(1) Εάν ο πάροχος PEPP παρέχει διάφορες μορφές πληρωμών, ο αποταμιευτής PEPP έχει δικαίωμα να επιλέγει με την εγγραφή του και να τροποποιεί τη μορφή των πληρωμών κάθε ανοικτού υπολογαριασμού του:</w:t>
            </w:r>
          </w:p>
          <w:p w14:paraId="344192B2" w14:textId="77777777" w:rsidR="005015CF" w:rsidRPr="005015CF" w:rsidRDefault="005015CF" w:rsidP="005015CF">
            <w:pPr>
              <w:pStyle w:val="ListParagraph"/>
              <w:ind w:left="0"/>
              <w:jc w:val="both"/>
              <w:rPr>
                <w:rFonts w:ascii="Arial" w:hAnsi="Arial" w:cs="Arial"/>
                <w:iCs/>
                <w:sz w:val="20"/>
                <w:szCs w:val="20"/>
              </w:rPr>
            </w:pPr>
          </w:p>
          <w:p w14:paraId="52A578D3" w14:textId="77777777" w:rsidR="005015CF" w:rsidRPr="005015CF" w:rsidRDefault="005015CF" w:rsidP="005015CF">
            <w:pPr>
              <w:pStyle w:val="ListParagraph"/>
              <w:ind w:left="457"/>
              <w:jc w:val="both"/>
              <w:rPr>
                <w:rFonts w:ascii="Arial" w:hAnsi="Arial" w:cs="Arial"/>
                <w:iCs/>
                <w:sz w:val="20"/>
                <w:szCs w:val="20"/>
              </w:rPr>
            </w:pPr>
            <w:r w:rsidRPr="005015CF">
              <w:rPr>
                <w:rFonts w:ascii="Arial" w:hAnsi="Arial" w:cs="Arial"/>
                <w:iCs/>
                <w:sz w:val="20"/>
                <w:szCs w:val="20"/>
              </w:rPr>
              <w:t>(α) ένα έτος πριν από την έναρξη της φάσης αποσυσσώρευσης,</w:t>
            </w:r>
          </w:p>
          <w:p w14:paraId="31191F67" w14:textId="77777777" w:rsidR="005015CF" w:rsidRPr="005015CF" w:rsidRDefault="005015CF" w:rsidP="005015CF">
            <w:pPr>
              <w:pStyle w:val="ListParagraph"/>
              <w:ind w:left="457"/>
              <w:jc w:val="both"/>
              <w:rPr>
                <w:rFonts w:ascii="Arial" w:hAnsi="Arial" w:cs="Arial"/>
                <w:iCs/>
                <w:sz w:val="20"/>
                <w:szCs w:val="20"/>
              </w:rPr>
            </w:pPr>
          </w:p>
          <w:p w14:paraId="2BD689B6" w14:textId="77777777" w:rsidR="005015CF" w:rsidRPr="005015CF" w:rsidRDefault="005015CF" w:rsidP="005015CF">
            <w:pPr>
              <w:pStyle w:val="ListParagraph"/>
              <w:ind w:left="457"/>
              <w:jc w:val="both"/>
              <w:rPr>
                <w:rFonts w:ascii="Arial" w:hAnsi="Arial" w:cs="Arial"/>
                <w:iCs/>
                <w:sz w:val="20"/>
                <w:szCs w:val="20"/>
              </w:rPr>
            </w:pPr>
            <w:r w:rsidRPr="005015CF">
              <w:rPr>
                <w:rFonts w:ascii="Arial" w:hAnsi="Arial" w:cs="Arial"/>
                <w:iCs/>
                <w:sz w:val="20"/>
                <w:szCs w:val="20"/>
              </w:rPr>
              <w:t xml:space="preserve">(β) κατά την έναρξη της φάσης αποσυσσώρευσης, </w:t>
            </w:r>
          </w:p>
          <w:p w14:paraId="606DD60B" w14:textId="77777777" w:rsidR="005015CF" w:rsidRPr="005015CF" w:rsidRDefault="005015CF" w:rsidP="005015CF">
            <w:pPr>
              <w:pStyle w:val="ListParagraph"/>
              <w:ind w:left="457"/>
              <w:jc w:val="both"/>
              <w:rPr>
                <w:rFonts w:ascii="Arial" w:hAnsi="Arial" w:cs="Arial"/>
                <w:iCs/>
                <w:sz w:val="20"/>
                <w:szCs w:val="20"/>
              </w:rPr>
            </w:pPr>
          </w:p>
          <w:p w14:paraId="70B95669" w14:textId="77777777" w:rsidR="005015CF" w:rsidRPr="005015CF" w:rsidRDefault="005015CF" w:rsidP="005015CF">
            <w:pPr>
              <w:pStyle w:val="ListParagraph"/>
              <w:ind w:left="457"/>
              <w:jc w:val="both"/>
              <w:rPr>
                <w:rFonts w:ascii="Arial" w:hAnsi="Arial" w:cs="Arial"/>
                <w:iCs/>
                <w:sz w:val="20"/>
                <w:szCs w:val="20"/>
              </w:rPr>
            </w:pPr>
            <w:r w:rsidRPr="005015CF">
              <w:rPr>
                <w:rFonts w:ascii="Arial" w:hAnsi="Arial" w:cs="Arial"/>
                <w:iCs/>
                <w:sz w:val="20"/>
                <w:szCs w:val="20"/>
              </w:rPr>
              <w:t>(γ) κατά τη στιγμή της αλλαγής PEPP.</w:t>
            </w:r>
          </w:p>
          <w:p w14:paraId="34CEC430" w14:textId="77777777" w:rsidR="005015CF" w:rsidRPr="005015CF" w:rsidRDefault="005015CF" w:rsidP="005015CF">
            <w:pPr>
              <w:ind w:left="457"/>
              <w:jc w:val="both"/>
              <w:rPr>
                <w:lang w:val="el-GR"/>
              </w:rPr>
            </w:pPr>
            <w:r w:rsidRPr="005015CF">
              <w:rPr>
                <w:lang w:val="el-GR"/>
              </w:rPr>
              <w:t>(2) Η τροποποίηση της μορφής πληρωμής δεν συνεπάγεται οικονομική επιβάρυνση για τον αποταμιευτή PEPP.</w:t>
            </w:r>
          </w:p>
          <w:p w14:paraId="409ED271" w14:textId="77777777" w:rsidR="005015CF" w:rsidRPr="005015CF" w:rsidRDefault="005015CF" w:rsidP="005015CF">
            <w:pPr>
              <w:jc w:val="center"/>
              <w:rPr>
                <w:lang w:val="el-GR"/>
              </w:rPr>
            </w:pPr>
          </w:p>
        </w:tc>
      </w:tr>
      <w:tr w:rsidR="005015CF" w:rsidRPr="0009627B" w14:paraId="3CBDC917" w14:textId="77777777" w:rsidTr="00300554">
        <w:tc>
          <w:tcPr>
            <w:tcW w:w="1843" w:type="dxa"/>
          </w:tcPr>
          <w:p w14:paraId="310F083B" w14:textId="6CBA131A" w:rsidR="005015CF" w:rsidRDefault="005015CF" w:rsidP="005015CF">
            <w:pPr>
              <w:numPr>
                <w:ilvl w:val="0"/>
                <w:numId w:val="4"/>
              </w:numPr>
              <w:spacing w:before="100" w:beforeAutospacing="1" w:after="100" w:afterAutospacing="1"/>
              <w:ind w:left="0"/>
              <w:rPr>
                <w:lang w:val="el-GR"/>
              </w:rPr>
            </w:pPr>
            <w:r>
              <w:rPr>
                <w:lang w:val="el-GR"/>
              </w:rPr>
              <w:t>Απαλλαγή από το φόρο.</w:t>
            </w:r>
          </w:p>
        </w:tc>
        <w:tc>
          <w:tcPr>
            <w:tcW w:w="8363" w:type="dxa"/>
          </w:tcPr>
          <w:p w14:paraId="28BB83D8" w14:textId="2A9B630D" w:rsidR="005015CF" w:rsidRPr="005015CF" w:rsidRDefault="005015CF" w:rsidP="005015CF">
            <w:pPr>
              <w:pStyle w:val="ListParagraph"/>
              <w:numPr>
                <w:ilvl w:val="0"/>
                <w:numId w:val="2"/>
              </w:numPr>
              <w:ind w:left="457" w:hanging="457"/>
              <w:jc w:val="both"/>
              <w:rPr>
                <w:rFonts w:ascii="Arial" w:hAnsi="Arial" w:cs="Arial"/>
                <w:sz w:val="20"/>
                <w:szCs w:val="20"/>
              </w:rPr>
            </w:pPr>
            <w:r w:rsidRPr="005015CF">
              <w:rPr>
                <w:rFonts w:ascii="Arial" w:hAnsi="Arial" w:cs="Arial"/>
                <w:sz w:val="20"/>
                <w:szCs w:val="20"/>
              </w:rPr>
              <w:t xml:space="preserve">Οι εφάπαξ παροχές PEPP διέπονται από το άρθρο 5 του Περί Φορολογίας του Εισοδήματος Νόμου και </w:t>
            </w:r>
            <w:r w:rsidR="009A0497">
              <w:rPr>
                <w:rFonts w:ascii="Arial" w:hAnsi="Arial" w:cs="Arial"/>
                <w:sz w:val="20"/>
                <w:szCs w:val="20"/>
              </w:rPr>
              <w:t>περιλαμβάνονται</w:t>
            </w:r>
            <w:r w:rsidRPr="005015CF">
              <w:rPr>
                <w:rFonts w:ascii="Arial" w:hAnsi="Arial" w:cs="Arial"/>
                <w:sz w:val="20"/>
                <w:szCs w:val="20"/>
              </w:rPr>
              <w:t xml:space="preserve"> στις περιπτώσεις απαλλαγής από το φόρο σύμφωνα με το εδάφιο (9) του άρθρου 8 του εν λόγω Νόμου.</w:t>
            </w:r>
          </w:p>
        </w:tc>
      </w:tr>
    </w:tbl>
    <w:p w14:paraId="5D2716C5" w14:textId="77777777" w:rsidR="00C64101" w:rsidRPr="003B37E4" w:rsidRDefault="00C64101" w:rsidP="003B37E4">
      <w:pPr>
        <w:jc w:val="center"/>
        <w:rPr>
          <w:lang w:val="el-GR"/>
        </w:rPr>
      </w:pPr>
    </w:p>
    <w:sectPr w:rsidR="00C64101" w:rsidRPr="003B37E4" w:rsidSect="007A2EB7">
      <w:pgSz w:w="11907" w:h="16840" w:code="9"/>
      <w:pgMar w:top="1418" w:right="1418" w:bottom="1418" w:left="1418" w:header="68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A1"/>
    <w:family w:val="auto"/>
    <w:notTrueType/>
    <w:pitch w:val="default"/>
    <w:sig w:usb0="00000083" w:usb1="00000000" w:usb2="00000000" w:usb3="00000000" w:csb0="00000009" w:csb1="00000000"/>
  </w:font>
  <w:font w:name="EU 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2AA"/>
    <w:multiLevelType w:val="multilevel"/>
    <w:tmpl w:val="A790D6D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C3E66"/>
    <w:multiLevelType w:val="hybridMultilevel"/>
    <w:tmpl w:val="40C4303A"/>
    <w:lvl w:ilvl="0" w:tplc="FCC00D7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64273"/>
    <w:multiLevelType w:val="multilevel"/>
    <w:tmpl w:val="BECAF9C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A785C"/>
    <w:multiLevelType w:val="multilevel"/>
    <w:tmpl w:val="66CC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930FE5"/>
    <w:multiLevelType w:val="hybridMultilevel"/>
    <w:tmpl w:val="07F20B7C"/>
    <w:lvl w:ilvl="0" w:tplc="0DFE0B72">
      <w:start w:val="1"/>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EEC06B0"/>
    <w:multiLevelType w:val="hybridMultilevel"/>
    <w:tmpl w:val="DD28FE8C"/>
    <w:lvl w:ilvl="0" w:tplc="7778A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5546660">
    <w:abstractNumId w:val="5"/>
  </w:num>
  <w:num w:numId="2" w16cid:durableId="1815219857">
    <w:abstractNumId w:val="4"/>
  </w:num>
  <w:num w:numId="3" w16cid:durableId="2011639562">
    <w:abstractNumId w:val="0"/>
  </w:num>
  <w:num w:numId="4" w16cid:durableId="584805708">
    <w:abstractNumId w:val="2"/>
  </w:num>
  <w:num w:numId="5" w16cid:durableId="1842087708">
    <w:abstractNumId w:val="1"/>
  </w:num>
  <w:num w:numId="6" w16cid:durableId="16736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EB7"/>
    <w:rsid w:val="0009627B"/>
    <w:rsid w:val="0015459E"/>
    <w:rsid w:val="001711BF"/>
    <w:rsid w:val="002244E3"/>
    <w:rsid w:val="00300554"/>
    <w:rsid w:val="0030476C"/>
    <w:rsid w:val="003B37E4"/>
    <w:rsid w:val="0041388F"/>
    <w:rsid w:val="00461A93"/>
    <w:rsid w:val="00465127"/>
    <w:rsid w:val="005015CF"/>
    <w:rsid w:val="00562EF2"/>
    <w:rsid w:val="00722863"/>
    <w:rsid w:val="00750D68"/>
    <w:rsid w:val="007A2EB7"/>
    <w:rsid w:val="0081427E"/>
    <w:rsid w:val="00897892"/>
    <w:rsid w:val="0094401B"/>
    <w:rsid w:val="009A0497"/>
    <w:rsid w:val="009A7877"/>
    <w:rsid w:val="00C64101"/>
    <w:rsid w:val="00C778D2"/>
    <w:rsid w:val="00C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2DC8"/>
  <w15:chartTrackingRefBased/>
  <w15:docId w15:val="{09D4FD5D-6762-4DF8-8658-85E62070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EB7"/>
    <w:pPr>
      <w:spacing w:after="0" w:line="240" w:lineRule="auto"/>
    </w:pPr>
    <w:rPr>
      <w:rFonts w:ascii="Arial" w:eastAsia="Arial" w:hAnsi="Arial" w:cs="Arial"/>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A2EB7"/>
    <w:pPr>
      <w:spacing w:after="200" w:line="276" w:lineRule="auto"/>
      <w:ind w:left="720"/>
      <w:contextualSpacing/>
    </w:pPr>
    <w:rPr>
      <w:rFonts w:ascii="Calibri" w:eastAsia="Calibri" w:hAnsi="Calibri" w:cs="Times New Roman"/>
      <w:sz w:val="22"/>
      <w:szCs w:val="22"/>
      <w:lang w:val="el-GR" w:eastAsia="el-GR"/>
    </w:rPr>
  </w:style>
  <w:style w:type="character" w:customStyle="1" w:styleId="ListParagraphChar">
    <w:name w:val="List Paragraph Char"/>
    <w:link w:val="ListParagraph"/>
    <w:uiPriority w:val="34"/>
    <w:rsid w:val="007A2EB7"/>
    <w:rPr>
      <w:rFonts w:ascii="Calibri" w:eastAsia="Calibri" w:hAnsi="Calibri" w:cs="Times New Roman"/>
      <w:lang w:val="el-GR" w:eastAsia="el-GR"/>
    </w:rPr>
  </w:style>
  <w:style w:type="character" w:customStyle="1" w:styleId="toc-instrument-enum">
    <w:name w:val="toc-instrument-enum"/>
    <w:basedOn w:val="DefaultParagraphFont"/>
    <w:rsid w:val="00722863"/>
  </w:style>
  <w:style w:type="paragraph" w:styleId="Revision">
    <w:name w:val="Revision"/>
    <w:hidden/>
    <w:uiPriority w:val="99"/>
    <w:semiHidden/>
    <w:rsid w:val="002244E3"/>
    <w:pPr>
      <w:spacing w:after="0" w:line="240" w:lineRule="auto"/>
    </w:pPr>
    <w:rPr>
      <w:rFonts w:ascii="Arial" w:eastAsia="Arial" w:hAnsi="Arial" w:cs="Arial"/>
      <w:sz w:val="20"/>
      <w:szCs w:val="20"/>
      <w:lang w:val="en-AU"/>
    </w:rPr>
  </w:style>
  <w:style w:type="character" w:styleId="CommentReference">
    <w:name w:val="annotation reference"/>
    <w:basedOn w:val="DefaultParagraphFont"/>
    <w:uiPriority w:val="99"/>
    <w:semiHidden/>
    <w:unhideWhenUsed/>
    <w:rsid w:val="001711BF"/>
    <w:rPr>
      <w:sz w:val="16"/>
      <w:szCs w:val="16"/>
    </w:rPr>
  </w:style>
  <w:style w:type="paragraph" w:styleId="CommentText">
    <w:name w:val="annotation text"/>
    <w:basedOn w:val="Normal"/>
    <w:link w:val="CommentTextChar"/>
    <w:uiPriority w:val="99"/>
    <w:semiHidden/>
    <w:unhideWhenUsed/>
    <w:rsid w:val="001711BF"/>
  </w:style>
  <w:style w:type="character" w:customStyle="1" w:styleId="CommentTextChar">
    <w:name w:val="Comment Text Char"/>
    <w:basedOn w:val="DefaultParagraphFont"/>
    <w:link w:val="CommentText"/>
    <w:uiPriority w:val="99"/>
    <w:semiHidden/>
    <w:rsid w:val="001711BF"/>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1711BF"/>
    <w:rPr>
      <w:b/>
      <w:bCs/>
    </w:rPr>
  </w:style>
  <w:style w:type="character" w:customStyle="1" w:styleId="CommentSubjectChar">
    <w:name w:val="Comment Subject Char"/>
    <w:basedOn w:val="CommentTextChar"/>
    <w:link w:val="CommentSubject"/>
    <w:uiPriority w:val="99"/>
    <w:semiHidden/>
    <w:rsid w:val="001711BF"/>
    <w:rPr>
      <w:rFonts w:ascii="Arial" w:eastAsia="Arial" w:hAnsi="Arial" w:cs="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Tassia Tsikkinis</dc:creator>
  <cp:keywords/>
  <dc:description/>
  <cp:lastModifiedBy>User</cp:lastModifiedBy>
  <cp:revision>2</cp:revision>
  <dcterms:created xsi:type="dcterms:W3CDTF">2022-12-22T14:27:00Z</dcterms:created>
  <dcterms:modified xsi:type="dcterms:W3CDTF">2022-12-22T14:27:00Z</dcterms:modified>
</cp:coreProperties>
</file>