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080" w:rsidRPr="008319CC" w:rsidRDefault="00CB1080" w:rsidP="00AF16D5">
      <w:pPr>
        <w:spacing w:after="0" w:line="240" w:lineRule="auto"/>
        <w:jc w:val="center"/>
        <w:rPr>
          <w:rFonts w:ascii="Arial" w:hAnsi="Arial" w:cs="Arial"/>
          <w:sz w:val="20"/>
          <w:szCs w:val="20"/>
          <w:lang w:val="en-GB"/>
        </w:rPr>
      </w:pPr>
    </w:p>
    <w:p w:rsidR="0085565F" w:rsidRPr="00F6055F" w:rsidRDefault="0085565F" w:rsidP="00AF16D5">
      <w:pPr>
        <w:spacing w:after="0" w:line="240" w:lineRule="auto"/>
        <w:jc w:val="center"/>
        <w:rPr>
          <w:rFonts w:ascii="Arial" w:hAnsi="Arial" w:cs="Arial"/>
          <w:sz w:val="20"/>
          <w:szCs w:val="20"/>
        </w:rPr>
      </w:pPr>
      <w:r w:rsidRPr="00F6055F">
        <w:rPr>
          <w:rFonts w:ascii="Arial" w:hAnsi="Arial" w:cs="Arial"/>
          <w:sz w:val="20"/>
          <w:szCs w:val="20"/>
        </w:rPr>
        <w:t>ΝΟΜΟΣΧΕΔΙΟ ΜΕ ΤΙΤΛΟ</w:t>
      </w:r>
    </w:p>
    <w:p w:rsidR="00992D09" w:rsidRPr="00F6055F" w:rsidRDefault="0085565F" w:rsidP="002A3923">
      <w:pPr>
        <w:spacing w:after="0" w:line="240" w:lineRule="auto"/>
        <w:jc w:val="center"/>
        <w:rPr>
          <w:rFonts w:ascii="Arial" w:hAnsi="Arial" w:cs="Arial"/>
          <w:sz w:val="20"/>
          <w:szCs w:val="20"/>
        </w:rPr>
      </w:pPr>
      <w:r w:rsidRPr="00F6055F">
        <w:rPr>
          <w:rFonts w:ascii="Arial" w:hAnsi="Arial" w:cs="Arial"/>
          <w:sz w:val="20"/>
          <w:szCs w:val="20"/>
        </w:rPr>
        <w:t xml:space="preserve">ΝΟΜΟΣ ΠΟΥ ΤΡΟΠΟΠΟΙΕΙ ΤΟΥΣ </w:t>
      </w:r>
      <w:r w:rsidR="002A3923" w:rsidRPr="00F6055F">
        <w:rPr>
          <w:rFonts w:ascii="Arial" w:hAnsi="Arial" w:cs="Arial"/>
          <w:sz w:val="20"/>
          <w:szCs w:val="20"/>
        </w:rPr>
        <w:t>ΠΕΡΙ ΣΥΣΤΗΜΑΤΟΣ ΕΓΓΥΗΣΗΣ ΤΩΝ ΚΑΤΑΘΕΣΕΩΝ ΚΑΙ ΕΞΥΓΙΑΝΣΗΣ ΠΙΣΤΩΤΙΚΩΝ ΚΑΙ ΑΛΛΩΝ ΙΔΡΥΜΑΤΩΝ NOMOΥΣ ΤΟΥ 2016 ΕΩΣ 2021</w:t>
      </w:r>
    </w:p>
    <w:p w:rsidR="007D635D" w:rsidRPr="00F6055F" w:rsidRDefault="007D635D" w:rsidP="00AF16D5">
      <w:pPr>
        <w:spacing w:after="0" w:line="240" w:lineRule="auto"/>
        <w:rPr>
          <w:rFonts w:ascii="Arial" w:hAnsi="Arial" w:cs="Arial"/>
          <w:sz w:val="20"/>
          <w:szCs w:val="20"/>
        </w:rPr>
      </w:pPr>
    </w:p>
    <w:tbl>
      <w:tblPr>
        <w:tblpPr w:leftFromText="180" w:rightFromText="180" w:bottomFromText="160" w:vertAnchor="text" w:tblpX="164" w:tblpY="1"/>
        <w:tblOverlap w:val="never"/>
        <w:tblW w:w="9747" w:type="dxa"/>
        <w:tblLayout w:type="fixed"/>
        <w:tblLook w:val="00A0" w:firstRow="1" w:lastRow="0" w:firstColumn="1" w:lastColumn="0" w:noHBand="0" w:noVBand="0"/>
      </w:tblPr>
      <w:tblGrid>
        <w:gridCol w:w="1668"/>
        <w:gridCol w:w="567"/>
        <w:gridCol w:w="708"/>
        <w:gridCol w:w="567"/>
        <w:gridCol w:w="142"/>
        <w:gridCol w:w="284"/>
        <w:gridCol w:w="5811"/>
      </w:tblGrid>
      <w:tr w:rsidR="00F6055F" w:rsidRPr="00F6055F" w:rsidTr="00A54882">
        <w:tc>
          <w:tcPr>
            <w:tcW w:w="1668" w:type="dxa"/>
          </w:tcPr>
          <w:p w:rsidR="007D635D" w:rsidRPr="00F6055F" w:rsidRDefault="007D635D" w:rsidP="00AF16D5">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7D635D" w:rsidRPr="00F6055F" w:rsidRDefault="007D635D" w:rsidP="00AF16D5">
            <w:pPr>
              <w:spacing w:after="0" w:line="240" w:lineRule="auto"/>
              <w:contextualSpacing/>
              <w:mirrorIndents/>
              <w:rPr>
                <w:rFonts w:ascii="Arial" w:eastAsia="Arial Unicode MS" w:hAnsi="Arial" w:cs="Arial"/>
                <w:bCs/>
                <w:sz w:val="20"/>
                <w:szCs w:val="20"/>
                <w:lang w:eastAsia="el-GR"/>
              </w:rPr>
            </w:pPr>
          </w:p>
        </w:tc>
      </w:tr>
      <w:tr w:rsidR="00F6055F" w:rsidRPr="00F6055F" w:rsidTr="00A54882">
        <w:tc>
          <w:tcPr>
            <w:tcW w:w="1668" w:type="dxa"/>
          </w:tcPr>
          <w:p w:rsidR="007D635D" w:rsidRPr="00F6055F" w:rsidRDefault="00A753AC"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Προοίμιο.</w:t>
            </w: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Επίσημη </w:t>
            </w: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Εφημερίδα της </w:t>
            </w: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Ε.Ε. : </w:t>
            </w:r>
            <w:r w:rsidRPr="00F6055F">
              <w:rPr>
                <w:rFonts w:ascii="Arial" w:eastAsia="Arial Unicode MS" w:hAnsi="Arial" w:cs="Arial"/>
                <w:sz w:val="20"/>
                <w:szCs w:val="20"/>
                <w:lang w:val="en-GB" w:eastAsia="el-GR"/>
              </w:rPr>
              <w:t>L</w:t>
            </w:r>
            <w:r w:rsidRPr="00F6055F">
              <w:rPr>
                <w:rFonts w:ascii="Arial" w:eastAsia="Arial Unicode MS" w:hAnsi="Arial" w:cs="Arial"/>
                <w:sz w:val="20"/>
                <w:szCs w:val="20"/>
                <w:lang w:eastAsia="el-GR"/>
              </w:rPr>
              <w:t xml:space="preserve"> 173,</w:t>
            </w: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12.</w:t>
            </w:r>
            <w:r w:rsidR="003C5EDB" w:rsidRPr="00F6055F">
              <w:rPr>
                <w:rFonts w:ascii="Arial" w:eastAsia="Arial Unicode MS" w:hAnsi="Arial" w:cs="Arial"/>
                <w:sz w:val="20"/>
                <w:szCs w:val="20"/>
                <w:lang w:eastAsia="el-GR"/>
              </w:rPr>
              <w:t>6.20</w:t>
            </w:r>
            <w:r w:rsidRPr="00F6055F">
              <w:rPr>
                <w:rFonts w:ascii="Arial" w:eastAsia="Arial Unicode MS" w:hAnsi="Arial" w:cs="Arial"/>
                <w:sz w:val="20"/>
                <w:szCs w:val="20"/>
                <w:lang w:eastAsia="el-GR"/>
              </w:rPr>
              <w:t>14</w:t>
            </w:r>
          </w:p>
          <w:p w:rsidR="00054E71" w:rsidRPr="00F6055F" w:rsidRDefault="00054E71"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σ.149</w:t>
            </w:r>
          </w:p>
          <w:p w:rsidR="00DA4689" w:rsidRPr="00F6055F" w:rsidRDefault="00DA4689" w:rsidP="00DA4689">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L 212, 18.7.2014, σ. 47. </w:t>
            </w:r>
          </w:p>
          <w:p w:rsidR="00054E71" w:rsidRPr="00F6055F" w:rsidRDefault="00DA4689"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L 309, 30.10.2014, σ. 37.</w:t>
            </w:r>
          </w:p>
        </w:tc>
        <w:tc>
          <w:tcPr>
            <w:tcW w:w="8079" w:type="dxa"/>
            <w:gridSpan w:val="6"/>
          </w:tcPr>
          <w:p w:rsidR="007D635D" w:rsidRPr="00F6055F" w:rsidRDefault="00E65D44" w:rsidP="00BB3464">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bCs/>
                <w:sz w:val="20"/>
                <w:szCs w:val="20"/>
                <w:lang w:eastAsia="el-GR"/>
              </w:rPr>
              <w:t>Για σκοπούς</w:t>
            </w:r>
            <w:r w:rsidR="00C236F5" w:rsidRPr="00F6055F">
              <w:rPr>
                <w:rFonts w:ascii="Arial" w:eastAsia="Arial Unicode MS" w:hAnsi="Arial" w:cs="Arial"/>
                <w:bCs/>
                <w:sz w:val="20"/>
                <w:szCs w:val="20"/>
                <w:lang w:eastAsia="el-GR"/>
              </w:rPr>
              <w:t xml:space="preserve">, μεταξύ άλλων, άσκησης διακριτικών εξουσιών που προβλέπονται στο Άρθρο 11 της πράξης της Ευρωπαϊκής Ένωσης με τίτλο </w:t>
            </w:r>
            <w:r w:rsidR="00054E71" w:rsidRPr="00F6055F">
              <w:rPr>
                <w:rFonts w:ascii="Arial" w:eastAsia="Arial Unicode MS" w:hAnsi="Arial" w:cs="Arial"/>
                <w:bCs/>
                <w:sz w:val="20"/>
                <w:szCs w:val="20"/>
                <w:lang w:eastAsia="el-GR"/>
              </w:rPr>
              <w:t xml:space="preserve">«Οδηγία 2014/49/ΕΕ του Ευρωπαϊκού Κοινοβουλίου και του Συμβουλίου, της </w:t>
            </w:r>
            <w:r w:rsidR="008A2E24" w:rsidRPr="00F6055F">
              <w:rPr>
                <w:rFonts w:ascii="Arial" w:eastAsia="Arial Unicode MS" w:hAnsi="Arial" w:cs="Arial"/>
                <w:bCs/>
                <w:sz w:val="20"/>
                <w:szCs w:val="20"/>
                <w:lang w:eastAsia="el-GR"/>
              </w:rPr>
              <w:t xml:space="preserve">16ης Απριλίου 2014 </w:t>
            </w:r>
            <w:r w:rsidR="00054E71" w:rsidRPr="00F6055F">
              <w:rPr>
                <w:rFonts w:ascii="Arial" w:eastAsia="Arial Unicode MS" w:hAnsi="Arial" w:cs="Arial"/>
                <w:bCs/>
                <w:sz w:val="20"/>
                <w:szCs w:val="20"/>
                <w:lang w:eastAsia="el-GR"/>
              </w:rPr>
              <w:t>περί των συστημάτων εγγύησης των καταθέσεων</w:t>
            </w:r>
            <w:r w:rsidRPr="00F6055F">
              <w:rPr>
                <w:rFonts w:ascii="Arial" w:eastAsia="Arial Unicode MS" w:hAnsi="Arial" w:cs="Arial"/>
                <w:bCs/>
                <w:sz w:val="20"/>
                <w:szCs w:val="20"/>
                <w:lang w:eastAsia="el-GR"/>
              </w:rPr>
              <w:t xml:space="preserve"> και αποτελεσματικότερης εφαρμογής του βασικού νόμου -</w:t>
            </w:r>
          </w:p>
        </w:tc>
      </w:tr>
      <w:tr w:rsidR="00F6055F" w:rsidRPr="00F6055F" w:rsidTr="00A54882">
        <w:tc>
          <w:tcPr>
            <w:tcW w:w="1668" w:type="dxa"/>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bCs/>
                <w:sz w:val="20"/>
                <w:szCs w:val="20"/>
                <w:lang w:eastAsia="el-GR"/>
              </w:rPr>
              <w:t>Η Βουλή των Αντιπροσώπων ψηφίζει ως ακολούθως:</w:t>
            </w:r>
          </w:p>
        </w:tc>
      </w:tr>
      <w:tr w:rsidR="00F6055F" w:rsidRPr="00F6055F" w:rsidTr="00A54882">
        <w:tc>
          <w:tcPr>
            <w:tcW w:w="1668" w:type="dxa"/>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A753AC" w:rsidRPr="00F6055F" w:rsidRDefault="00A753AC" w:rsidP="00AF16D5">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7D635D" w:rsidRPr="00F6055F" w:rsidRDefault="007D635D"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Συνοπτικός τίτλος.</w:t>
            </w:r>
          </w:p>
          <w:p w:rsidR="007D635D" w:rsidRPr="00F6055F" w:rsidRDefault="007D635D" w:rsidP="00AF16D5">
            <w:pPr>
              <w:spacing w:after="0" w:line="240" w:lineRule="auto"/>
              <w:contextualSpacing/>
              <w:mirrorIndents/>
              <w:jc w:val="right"/>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w:t>
            </w:r>
          </w:p>
          <w:p w:rsidR="00A753AC" w:rsidRPr="00F6055F" w:rsidRDefault="00AE73C4" w:rsidP="00AF16D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w:t>
            </w:r>
            <w:r w:rsidR="00A753AC" w:rsidRPr="00F6055F">
              <w:rPr>
                <w:rFonts w:ascii="Arial" w:eastAsia="Arial Unicode MS" w:hAnsi="Arial" w:cs="Arial"/>
                <w:sz w:val="20"/>
                <w:szCs w:val="20"/>
                <w:lang w:eastAsia="el-GR"/>
              </w:rPr>
              <w:t xml:space="preserve">5(Ι) του 2016 41(I) του 2018 22(Ι) του 2020 74(Ι) </w:t>
            </w:r>
            <w:r w:rsidR="003F373C" w:rsidRPr="00F6055F">
              <w:rPr>
                <w:rFonts w:ascii="Arial" w:eastAsia="Arial Unicode MS" w:hAnsi="Arial" w:cs="Arial"/>
                <w:sz w:val="20"/>
                <w:szCs w:val="20"/>
                <w:lang w:eastAsia="el-GR"/>
              </w:rPr>
              <w:t xml:space="preserve"> </w:t>
            </w:r>
            <w:r w:rsidR="00A753AC" w:rsidRPr="00F6055F">
              <w:rPr>
                <w:rFonts w:ascii="Arial" w:eastAsia="Arial Unicode MS" w:hAnsi="Arial" w:cs="Arial"/>
                <w:sz w:val="20"/>
                <w:szCs w:val="20"/>
                <w:lang w:eastAsia="el-GR"/>
              </w:rPr>
              <w:t>του 2020</w:t>
            </w:r>
          </w:p>
          <w:p w:rsidR="007D635D" w:rsidRPr="00F6055F" w:rsidRDefault="00A753AC" w:rsidP="00A753A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119(Ι) του 2021.</w:t>
            </w:r>
            <w:r w:rsidR="00AE73C4" w:rsidRPr="00F6055F">
              <w:rPr>
                <w:rFonts w:ascii="Arial" w:eastAsia="Arial Unicode MS" w:hAnsi="Arial" w:cs="Arial"/>
                <w:sz w:val="20"/>
                <w:szCs w:val="20"/>
                <w:lang w:eastAsia="el-GR"/>
              </w:rPr>
              <w:t xml:space="preserve"> </w:t>
            </w:r>
          </w:p>
        </w:tc>
        <w:tc>
          <w:tcPr>
            <w:tcW w:w="8079" w:type="dxa"/>
            <w:gridSpan w:val="6"/>
            <w:hideMark/>
          </w:tcPr>
          <w:p w:rsidR="007D635D" w:rsidRPr="00F6055F" w:rsidRDefault="007D635D" w:rsidP="003A1FDB">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1. Ο παρών Νόμος θα αναφέρεται ως ο περί </w:t>
            </w:r>
            <w:r w:rsidR="00B0771C" w:rsidRPr="00F6055F">
              <w:rPr>
                <w:rFonts w:ascii="Arial" w:eastAsia="Arial Unicode MS" w:hAnsi="Arial" w:cs="Arial"/>
                <w:sz w:val="20"/>
                <w:szCs w:val="20"/>
                <w:lang w:eastAsia="el-GR"/>
              </w:rPr>
              <w:t xml:space="preserve">Συστήματος Εγγύησης των Καταθέσεων και Εξυγίανσης Πιστωτικών και Άλλων Ιδρυμάτων </w:t>
            </w:r>
            <w:r w:rsidRPr="00F6055F">
              <w:rPr>
                <w:rFonts w:ascii="Arial" w:eastAsia="Arial Unicode MS" w:hAnsi="Arial" w:cs="Arial"/>
                <w:sz w:val="20"/>
                <w:szCs w:val="20"/>
                <w:lang w:eastAsia="el-GR"/>
              </w:rPr>
              <w:t xml:space="preserve">(Τροποποιητικός)  Νόμος του </w:t>
            </w:r>
            <w:r w:rsidRPr="00F6055F">
              <w:rPr>
                <w:rFonts w:ascii="Arial" w:hAnsi="Arial"/>
                <w:sz w:val="20"/>
              </w:rPr>
              <w:t>202</w:t>
            </w:r>
            <w:r w:rsidR="00641962" w:rsidRPr="00F6055F">
              <w:rPr>
                <w:rFonts w:ascii="Arial" w:hAnsi="Arial"/>
                <w:sz w:val="20"/>
              </w:rPr>
              <w:t>2</w:t>
            </w:r>
            <w:r w:rsidRPr="00F6055F">
              <w:rPr>
                <w:rFonts w:ascii="Arial" w:eastAsia="Arial Unicode MS" w:hAnsi="Arial" w:cs="Arial"/>
                <w:sz w:val="20"/>
                <w:szCs w:val="20"/>
                <w:lang w:eastAsia="el-GR"/>
              </w:rPr>
              <w:t xml:space="preserve"> και θα διαβάζεται μαζί με τους περί </w:t>
            </w:r>
            <w:r w:rsidR="00B0771C" w:rsidRPr="00F6055F">
              <w:rPr>
                <w:rFonts w:ascii="Arial" w:hAnsi="Arial" w:cs="Arial"/>
                <w:sz w:val="20"/>
                <w:szCs w:val="20"/>
              </w:rPr>
              <w:t xml:space="preserve"> </w:t>
            </w:r>
            <w:r w:rsidR="00B0771C" w:rsidRPr="00F6055F">
              <w:rPr>
                <w:rFonts w:ascii="Arial" w:eastAsia="Arial Unicode MS" w:hAnsi="Arial" w:cs="Arial"/>
                <w:sz w:val="20"/>
                <w:szCs w:val="20"/>
                <w:lang w:eastAsia="el-GR"/>
              </w:rPr>
              <w:t xml:space="preserve">Συστήματος Εγγύησης των Καταθέσεων και Εξυγίανσης Πιστωτικών και Άλλων Ιδρυμάτων Νόμους του 2016 έως 2021 </w:t>
            </w:r>
            <w:r w:rsidRPr="00F6055F">
              <w:rPr>
                <w:rFonts w:ascii="Arial" w:eastAsia="Arial Unicode MS" w:hAnsi="Arial" w:cs="Arial"/>
                <w:sz w:val="20"/>
                <w:szCs w:val="20"/>
                <w:lang w:eastAsia="el-GR"/>
              </w:rPr>
              <w:t xml:space="preserve">(που στο εξής θα αναφέρονται ως «ο βασικός νόμος») και ο βασικός νόμος και ο παρών Νόμος θα αναφέρονται μαζί ως οι </w:t>
            </w:r>
            <w:r w:rsidR="00B0771C" w:rsidRPr="00F6055F">
              <w:rPr>
                <w:rFonts w:ascii="Arial" w:eastAsia="Arial Unicode MS" w:hAnsi="Arial" w:cs="Arial"/>
                <w:sz w:val="20"/>
                <w:szCs w:val="20"/>
                <w:lang w:eastAsia="el-GR"/>
              </w:rPr>
              <w:t>περί</w:t>
            </w:r>
            <w:r w:rsidR="00B0771C" w:rsidRPr="00F6055F">
              <w:rPr>
                <w:rFonts w:ascii="Arial" w:hAnsi="Arial" w:cs="Arial"/>
                <w:sz w:val="20"/>
                <w:szCs w:val="20"/>
              </w:rPr>
              <w:t xml:space="preserve"> </w:t>
            </w:r>
            <w:r w:rsidR="00B0771C" w:rsidRPr="00F6055F">
              <w:rPr>
                <w:rFonts w:ascii="Arial" w:eastAsia="Arial Unicode MS" w:hAnsi="Arial" w:cs="Arial"/>
                <w:sz w:val="20"/>
                <w:szCs w:val="20"/>
                <w:lang w:eastAsia="el-GR"/>
              </w:rPr>
              <w:t>Συστήματος Εγγύησης των Καταθέσεων και Εξυγίανσης Πιστωτικών και Άλλων Ιδρυμάτων Νόμοι</w:t>
            </w:r>
            <w:r w:rsidRPr="00F6055F">
              <w:rPr>
                <w:rFonts w:ascii="Arial" w:eastAsia="Arial Unicode MS" w:hAnsi="Arial" w:cs="Arial"/>
                <w:sz w:val="20"/>
                <w:szCs w:val="20"/>
                <w:lang w:eastAsia="el-GR"/>
              </w:rPr>
              <w:t xml:space="preserve"> </w:t>
            </w:r>
            <w:r w:rsidRPr="00F6055F">
              <w:rPr>
                <w:rFonts w:ascii="Arial" w:hAnsi="Arial"/>
                <w:sz w:val="20"/>
              </w:rPr>
              <w:t xml:space="preserve">του </w:t>
            </w:r>
            <w:r w:rsidR="00B0771C" w:rsidRPr="00F6055F">
              <w:rPr>
                <w:rFonts w:ascii="Arial" w:hAnsi="Arial"/>
                <w:sz w:val="20"/>
              </w:rPr>
              <w:t>2016</w:t>
            </w:r>
            <w:r w:rsidR="00B0771C" w:rsidRPr="00F6055F">
              <w:rPr>
                <w:rFonts w:ascii="Arial" w:eastAsia="Arial Unicode MS" w:hAnsi="Arial" w:cs="Arial"/>
                <w:sz w:val="20"/>
                <w:szCs w:val="20"/>
                <w:lang w:eastAsia="el-GR"/>
              </w:rPr>
              <w:t xml:space="preserve"> </w:t>
            </w:r>
            <w:r w:rsidR="00145CF9" w:rsidRPr="00F6055F">
              <w:rPr>
                <w:rFonts w:ascii="Arial" w:eastAsia="Arial Unicode MS" w:hAnsi="Arial" w:cs="Arial"/>
                <w:sz w:val="20"/>
                <w:szCs w:val="20"/>
                <w:lang w:eastAsia="el-GR"/>
              </w:rPr>
              <w:t>μέχρι</w:t>
            </w:r>
            <w:r w:rsidR="00B0771C" w:rsidRPr="00F6055F">
              <w:rPr>
                <w:rFonts w:ascii="Arial" w:eastAsia="Arial Unicode MS" w:hAnsi="Arial" w:cs="Arial"/>
                <w:sz w:val="20"/>
                <w:szCs w:val="20"/>
                <w:lang w:eastAsia="el-GR"/>
              </w:rPr>
              <w:t xml:space="preserve"> </w:t>
            </w:r>
            <w:r w:rsidRPr="00F6055F">
              <w:rPr>
                <w:rFonts w:ascii="Arial" w:hAnsi="Arial"/>
                <w:sz w:val="20"/>
              </w:rPr>
              <w:t>202</w:t>
            </w:r>
            <w:r w:rsidR="004666F0" w:rsidRPr="00F6055F">
              <w:rPr>
                <w:rFonts w:ascii="Arial" w:hAnsi="Arial"/>
                <w:sz w:val="20"/>
              </w:rPr>
              <w:t>2</w:t>
            </w:r>
            <w:r w:rsidRPr="00F6055F">
              <w:rPr>
                <w:rFonts w:ascii="Arial" w:eastAsia="Arial Unicode MS" w:hAnsi="Arial" w:cs="Arial"/>
                <w:sz w:val="20"/>
                <w:szCs w:val="20"/>
                <w:lang w:eastAsia="el-GR"/>
              </w:rPr>
              <w:t>.</w:t>
            </w:r>
          </w:p>
        </w:tc>
      </w:tr>
      <w:tr w:rsidR="00F6055F" w:rsidRPr="00F6055F" w:rsidTr="00A54882">
        <w:tc>
          <w:tcPr>
            <w:tcW w:w="1668" w:type="dxa"/>
          </w:tcPr>
          <w:p w:rsidR="008304A6" w:rsidRPr="00F6055F" w:rsidRDefault="008304A6" w:rsidP="00AF16D5">
            <w:pPr>
              <w:spacing w:after="0" w:line="240" w:lineRule="auto"/>
              <w:contextualSpacing/>
              <w:mirrorIndents/>
              <w:jc w:val="both"/>
              <w:rPr>
                <w:rFonts w:ascii="Arial" w:eastAsia="Arial Unicode MS" w:hAnsi="Arial" w:cs="Arial"/>
                <w:sz w:val="20"/>
                <w:szCs w:val="20"/>
                <w:lang w:eastAsia="el-GR"/>
              </w:rPr>
            </w:pPr>
          </w:p>
        </w:tc>
        <w:tc>
          <w:tcPr>
            <w:tcW w:w="567" w:type="dxa"/>
          </w:tcPr>
          <w:p w:rsidR="008304A6" w:rsidRPr="00F6055F" w:rsidRDefault="008304A6" w:rsidP="00AF16D5">
            <w:pPr>
              <w:spacing w:after="0" w:line="240" w:lineRule="auto"/>
              <w:contextualSpacing/>
              <w:mirrorIndents/>
              <w:jc w:val="both"/>
              <w:rPr>
                <w:rFonts w:ascii="Arial" w:eastAsia="Arial Unicode MS" w:hAnsi="Arial" w:cs="Arial"/>
                <w:sz w:val="20"/>
                <w:szCs w:val="20"/>
                <w:lang w:eastAsia="el-GR"/>
              </w:rPr>
            </w:pPr>
          </w:p>
        </w:tc>
        <w:tc>
          <w:tcPr>
            <w:tcW w:w="7512" w:type="dxa"/>
            <w:gridSpan w:val="5"/>
          </w:tcPr>
          <w:p w:rsidR="008304A6" w:rsidRPr="00F6055F" w:rsidRDefault="008304A6" w:rsidP="00AF16D5">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4666F0" w:rsidRPr="00F6055F" w:rsidRDefault="004666F0" w:rsidP="004666F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4666F0" w:rsidRPr="00F6055F" w:rsidRDefault="004666F0" w:rsidP="004666F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2 </w:t>
            </w:r>
          </w:p>
          <w:p w:rsidR="004666F0" w:rsidRPr="00F6055F" w:rsidRDefault="004666F0" w:rsidP="004666F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90557A" w:rsidRPr="00F6055F" w:rsidRDefault="004666F0" w:rsidP="004666F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2. Το άρθρο 2</w:t>
            </w:r>
            <w:r w:rsidR="00E00A4A" w:rsidRPr="00F6055F">
              <w:rPr>
                <w:rFonts w:ascii="Arial" w:eastAsia="Arial Unicode MS" w:hAnsi="Arial" w:cs="Arial"/>
                <w:sz w:val="20"/>
                <w:szCs w:val="20"/>
                <w:lang w:eastAsia="el-GR"/>
              </w:rPr>
              <w:t>(1)</w:t>
            </w:r>
            <w:r w:rsidRPr="00F6055F">
              <w:rPr>
                <w:rFonts w:ascii="Arial" w:eastAsia="Arial Unicode MS" w:hAnsi="Arial" w:cs="Arial"/>
                <w:sz w:val="20"/>
                <w:szCs w:val="20"/>
                <w:lang w:eastAsia="el-GR"/>
              </w:rPr>
              <w:t xml:space="preserve"> του βασικού νόμου τροποποιείται </w:t>
            </w:r>
            <w:r w:rsidR="0090557A" w:rsidRPr="00F6055F">
              <w:rPr>
                <w:rFonts w:ascii="Arial" w:eastAsia="Arial Unicode MS" w:hAnsi="Arial" w:cs="Arial"/>
                <w:sz w:val="20"/>
                <w:szCs w:val="20"/>
                <w:lang w:eastAsia="el-GR"/>
              </w:rPr>
              <w:t>ως ακολούθως:</w:t>
            </w:r>
          </w:p>
          <w:p w:rsidR="0090557A" w:rsidRPr="00F6055F" w:rsidRDefault="0090557A" w:rsidP="004666F0">
            <w:pPr>
              <w:spacing w:after="0" w:line="240" w:lineRule="auto"/>
              <w:contextualSpacing/>
              <w:mirrorIndents/>
              <w:jc w:val="both"/>
              <w:rPr>
                <w:rFonts w:ascii="Arial" w:eastAsia="Arial Unicode MS" w:hAnsi="Arial" w:cs="Arial"/>
                <w:sz w:val="20"/>
                <w:szCs w:val="20"/>
                <w:lang w:eastAsia="el-GR"/>
              </w:rPr>
            </w:pPr>
          </w:p>
          <w:p w:rsidR="00A35AC0" w:rsidRPr="00F6055F" w:rsidRDefault="00A35AC0" w:rsidP="000C7397">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755"/>
        </w:trPr>
        <w:tc>
          <w:tcPr>
            <w:tcW w:w="1668" w:type="dxa"/>
          </w:tcPr>
          <w:p w:rsidR="0090557A" w:rsidRPr="00F6055F" w:rsidRDefault="0090557A" w:rsidP="004666F0">
            <w:pPr>
              <w:spacing w:after="0" w:line="240" w:lineRule="auto"/>
              <w:contextualSpacing/>
              <w:mirrorIndents/>
              <w:rPr>
                <w:rFonts w:ascii="Arial" w:eastAsia="Arial Unicode MS" w:hAnsi="Arial" w:cs="Arial"/>
                <w:sz w:val="20"/>
                <w:szCs w:val="20"/>
                <w:lang w:eastAsia="el-GR"/>
              </w:rPr>
            </w:pPr>
          </w:p>
        </w:tc>
        <w:tc>
          <w:tcPr>
            <w:tcW w:w="8079" w:type="dxa"/>
            <w:gridSpan w:val="6"/>
          </w:tcPr>
          <w:p w:rsidR="00CB1CB4" w:rsidRPr="00F6055F" w:rsidRDefault="009B6EE6" w:rsidP="004666F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(α</w:t>
            </w:r>
            <w:r w:rsidR="0090557A" w:rsidRPr="00F6055F">
              <w:rPr>
                <w:rFonts w:ascii="Arial" w:eastAsia="Arial Unicode MS" w:hAnsi="Arial" w:cs="Arial"/>
                <w:sz w:val="20"/>
                <w:szCs w:val="20"/>
                <w:lang w:eastAsia="el-GR"/>
              </w:rPr>
              <w:t xml:space="preserve">) </w:t>
            </w:r>
            <w:r w:rsidR="0090557A" w:rsidRPr="00F6055F">
              <w:rPr>
                <w:rFonts w:ascii="Arial" w:hAnsi="Arial" w:cs="Arial"/>
                <w:sz w:val="20"/>
                <w:szCs w:val="20"/>
              </w:rPr>
              <w:t xml:space="preserve"> </w:t>
            </w:r>
            <w:r w:rsidR="0090557A" w:rsidRPr="00F6055F">
              <w:rPr>
                <w:rFonts w:ascii="Arial" w:eastAsia="Arial Unicode MS" w:hAnsi="Arial" w:cs="Arial"/>
                <w:sz w:val="20"/>
                <w:szCs w:val="20"/>
                <w:lang w:eastAsia="el-GR"/>
              </w:rPr>
              <w:t>με την προσθήκη</w:t>
            </w:r>
            <w:r w:rsidR="005567C2" w:rsidRPr="00F6055F">
              <w:rPr>
                <w:rFonts w:ascii="Arial" w:eastAsia="Arial Unicode MS" w:hAnsi="Arial" w:cs="Arial"/>
                <w:sz w:val="20"/>
                <w:szCs w:val="20"/>
                <w:lang w:eastAsia="el-GR"/>
              </w:rPr>
              <w:t>,</w:t>
            </w:r>
            <w:r w:rsidR="0090557A"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στην κατάλληλη</w:t>
            </w:r>
            <w:r w:rsidR="005567C2" w:rsidRPr="00F6055F">
              <w:rPr>
                <w:rFonts w:ascii="Arial" w:eastAsia="Arial Unicode MS" w:hAnsi="Arial" w:cs="Arial"/>
                <w:sz w:val="20"/>
                <w:szCs w:val="20"/>
                <w:lang w:eastAsia="el-GR"/>
              </w:rPr>
              <w:t xml:space="preserve"> αλφαβητική σειρά,</w:t>
            </w:r>
            <w:r w:rsidR="00CB1CB4" w:rsidRPr="00F6055F">
              <w:rPr>
                <w:rFonts w:ascii="Arial" w:eastAsia="Arial Unicode MS" w:hAnsi="Arial" w:cs="Arial"/>
                <w:sz w:val="20"/>
                <w:szCs w:val="20"/>
                <w:lang w:eastAsia="el-GR"/>
              </w:rPr>
              <w:t xml:space="preserve"> των ακόλουθων </w:t>
            </w:r>
            <w:r w:rsidR="000C7397" w:rsidRPr="00F6055F">
              <w:rPr>
                <w:rFonts w:ascii="Arial" w:eastAsia="Arial Unicode MS" w:hAnsi="Arial" w:cs="Arial"/>
                <w:sz w:val="20"/>
                <w:szCs w:val="20"/>
                <w:lang w:eastAsia="el-GR"/>
              </w:rPr>
              <w:t xml:space="preserve">νέων όρων και </w:t>
            </w:r>
            <w:r w:rsidR="00CB1CB4" w:rsidRPr="00F6055F">
              <w:rPr>
                <w:rFonts w:ascii="Arial" w:eastAsia="Arial Unicode MS" w:hAnsi="Arial" w:cs="Arial"/>
                <w:sz w:val="20"/>
                <w:szCs w:val="20"/>
                <w:lang w:eastAsia="el-GR"/>
              </w:rPr>
              <w:t>ορισμών</w:t>
            </w:r>
            <w:r w:rsidR="000C7397" w:rsidRPr="00F6055F">
              <w:rPr>
                <w:rFonts w:ascii="Arial" w:eastAsia="Arial Unicode MS" w:hAnsi="Arial" w:cs="Arial"/>
                <w:sz w:val="20"/>
                <w:szCs w:val="20"/>
                <w:lang w:eastAsia="el-GR"/>
              </w:rPr>
              <w:t xml:space="preserve"> αυτών</w:t>
            </w:r>
            <w:r w:rsidR="00CB1CB4" w:rsidRPr="00F6055F">
              <w:rPr>
                <w:rFonts w:ascii="Arial" w:eastAsia="Arial Unicode MS" w:hAnsi="Arial" w:cs="Arial"/>
                <w:sz w:val="20"/>
                <w:szCs w:val="20"/>
                <w:lang w:eastAsia="el-GR"/>
              </w:rPr>
              <w:t>:</w:t>
            </w:r>
          </w:p>
          <w:p w:rsidR="00CB1CB4" w:rsidRPr="00F6055F" w:rsidRDefault="00CB1CB4" w:rsidP="000936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427"/>
        </w:trPr>
        <w:tc>
          <w:tcPr>
            <w:tcW w:w="1668" w:type="dxa"/>
          </w:tcPr>
          <w:p w:rsidR="00145CF9" w:rsidRPr="00F6055F" w:rsidRDefault="00145CF9" w:rsidP="004666F0">
            <w:pPr>
              <w:spacing w:after="0" w:line="240" w:lineRule="auto"/>
              <w:contextualSpacing/>
              <w:mirrorIndents/>
              <w:rPr>
                <w:rFonts w:ascii="Arial" w:eastAsia="Arial Unicode MS" w:hAnsi="Arial" w:cs="Arial"/>
                <w:sz w:val="20"/>
                <w:szCs w:val="20"/>
                <w:lang w:eastAsia="el-GR"/>
              </w:rPr>
            </w:pPr>
          </w:p>
          <w:p w:rsidR="005B0876" w:rsidRPr="00F6055F" w:rsidRDefault="00145CF9" w:rsidP="00EC0AFC">
            <w:pPr>
              <w:spacing w:after="0" w:line="240" w:lineRule="auto"/>
              <w:contextualSpacing/>
              <w:mirrorIndents/>
              <w:jc w:val="right"/>
              <w:rPr>
                <w:rFonts w:ascii="Arial" w:eastAsia="Arial Unicode MS" w:hAnsi="Arial" w:cs="Arial"/>
                <w:sz w:val="20"/>
                <w:szCs w:val="20"/>
                <w:lang w:eastAsia="el-GR"/>
              </w:rPr>
            </w:pPr>
            <w:r w:rsidRPr="00F6055F">
              <w:rPr>
                <w:rFonts w:ascii="Arial" w:eastAsia="Arial Unicode MS" w:hAnsi="Arial" w:cs="Arial"/>
                <w:sz w:val="20"/>
                <w:szCs w:val="20"/>
                <w:lang w:eastAsia="el-GR"/>
              </w:rPr>
              <w:t>74(Ι) του 1999 94(Ι) του 2000 119(I) του 2003 4(Ι) του 2004 151(Ι) του 2004 231(Ι) του 2004 235(I) του 2004 20(Ι) του 2005 80(Ι) του 2008 100(Ι) του 2009 123(Ι) του 2009 27(Ι) του 2011 104(Ι) του 2011 107(Ι) του 2012 14(Ι) του 2013 87(Ι) του 2013 102(Ι) του 2013 141(Ι) του 2013 5(Ι) του 2015 26(Ι) του 2015 35(Ι) του 2015 71(Ι) του 2015 93(Ι) του 2015 109(Ι) του 2015 152(Ι) του 2015 168(Ι) του 2015 21(Ι) του 2016 5(Ι) του 2017 38(Ι) του 2017 169(Ι) του 2017 28(Ι) του 2018 89(I) του 2018 153(Ι) του 2018 80(Ι) του 2019 149(I) του 2019 21(Ι) του 2020 73(Ι) του 2020 28(Ι) του 2021 94(Ι) του 2021 95(Ι) του 2021 162(I) του 2021 163(Ι) του 2021.</w:t>
            </w:r>
          </w:p>
        </w:tc>
        <w:tc>
          <w:tcPr>
            <w:tcW w:w="8079" w:type="dxa"/>
            <w:gridSpan w:val="6"/>
          </w:tcPr>
          <w:p w:rsidR="005B0876" w:rsidRPr="00F6055F" w:rsidRDefault="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val="en-GB" w:eastAsia="el-GR"/>
              </w:rPr>
              <w:t>i</w:t>
            </w:r>
            <w:proofErr w:type="spellEnd"/>
            <w:r w:rsidRPr="00F6055F">
              <w:rPr>
                <w:rFonts w:ascii="Arial" w:eastAsia="Arial Unicode MS" w:hAnsi="Arial" w:cs="Arial"/>
                <w:sz w:val="20"/>
                <w:szCs w:val="20"/>
                <w:lang w:eastAsia="el-GR"/>
              </w:rPr>
              <w:t>) «</w:t>
            </w:r>
            <w:proofErr w:type="spellStart"/>
            <w:r w:rsidRPr="00F6055F">
              <w:rPr>
                <w:rFonts w:ascii="Arial" w:eastAsia="Arial Unicode MS" w:hAnsi="Arial" w:cs="Arial"/>
                <w:sz w:val="20"/>
                <w:szCs w:val="20"/>
                <w:lang w:eastAsia="el-GR"/>
              </w:rPr>
              <w:t>αδειοδοτημένο</w:t>
            </w:r>
            <w:proofErr w:type="spellEnd"/>
            <w:r w:rsidRPr="00F6055F">
              <w:rPr>
                <w:rFonts w:ascii="Arial" w:eastAsia="Arial Unicode MS" w:hAnsi="Arial" w:cs="Arial"/>
                <w:sz w:val="20"/>
                <w:szCs w:val="20"/>
                <w:lang w:eastAsia="el-GR"/>
              </w:rPr>
              <w:t xml:space="preserve"> πιστωτικό ίδρυμα» ή «ΑΠΙ» έχει την έννοια που αποδίδεται στον όρο αυτό από το άρθρο 2 του περί Εργασιών Πιστωτικών Ιδρυμάτων Νόμου·</w:t>
            </w:r>
          </w:p>
          <w:p w:rsidR="005B0876" w:rsidRPr="00F6055F" w:rsidRDefault="005B0876" w:rsidP="004666F0">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87"/>
        </w:trPr>
        <w:tc>
          <w:tcPr>
            <w:tcW w:w="1668" w:type="dxa"/>
          </w:tcPr>
          <w:p w:rsidR="0073240F" w:rsidRPr="00F6055F" w:rsidRDefault="0073240F" w:rsidP="0073240F">
            <w:pPr>
              <w:spacing w:after="0" w:line="240" w:lineRule="auto"/>
              <w:contextualSpacing/>
              <w:mirrorIndents/>
              <w:rPr>
                <w:rFonts w:ascii="Arial" w:eastAsia="Arial Unicode MS" w:hAnsi="Arial" w:cs="Arial"/>
                <w:sz w:val="20"/>
                <w:szCs w:val="20"/>
                <w:lang w:eastAsia="el-GR"/>
              </w:rPr>
            </w:pPr>
          </w:p>
        </w:tc>
        <w:tc>
          <w:tcPr>
            <w:tcW w:w="8079" w:type="dxa"/>
            <w:gridSpan w:val="6"/>
          </w:tcPr>
          <w:p w:rsidR="0073240F" w:rsidRPr="00F6055F" w:rsidRDefault="0073240F" w:rsidP="0073240F">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565"/>
        </w:trPr>
        <w:tc>
          <w:tcPr>
            <w:tcW w:w="1668" w:type="dxa"/>
          </w:tcPr>
          <w:p w:rsidR="009054A7" w:rsidRPr="00F6055F" w:rsidRDefault="009054A7" w:rsidP="0073240F">
            <w:pPr>
              <w:spacing w:after="0" w:line="240" w:lineRule="auto"/>
              <w:contextualSpacing/>
              <w:mirrorIndents/>
              <w:rPr>
                <w:rFonts w:ascii="Arial" w:eastAsia="Arial Unicode MS" w:hAnsi="Arial" w:cs="Arial"/>
                <w:sz w:val="20"/>
                <w:szCs w:val="20"/>
                <w:lang w:eastAsia="el-GR"/>
              </w:rPr>
            </w:pPr>
          </w:p>
          <w:p w:rsidR="0073240F" w:rsidRPr="00F6055F" w:rsidRDefault="009054A7" w:rsidP="00AA153B">
            <w:pPr>
              <w:spacing w:after="0" w:line="240" w:lineRule="auto"/>
              <w:contextualSpacing/>
              <w:mirrorIndents/>
              <w:jc w:val="right"/>
              <w:rPr>
                <w:rFonts w:ascii="Arial" w:eastAsia="Arial Unicode MS" w:hAnsi="Arial" w:cs="Arial"/>
                <w:sz w:val="20"/>
                <w:szCs w:val="20"/>
                <w:lang w:eastAsia="el-GR"/>
              </w:rPr>
            </w:pPr>
            <w:r w:rsidRPr="00F6055F">
              <w:rPr>
                <w:rFonts w:ascii="Arial" w:hAnsi="Arial"/>
                <w:sz w:val="20"/>
              </w:rPr>
              <w:t>96(Ι) του 2021 158(Ι) του 2021.</w:t>
            </w:r>
          </w:p>
        </w:tc>
        <w:tc>
          <w:tcPr>
            <w:tcW w:w="8079" w:type="dxa"/>
            <w:gridSpan w:val="6"/>
          </w:tcPr>
          <w:p w:rsidR="0073240F" w:rsidRPr="00F6055F" w:rsidRDefault="0073240F" w:rsidP="0073240F">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00BE6D42" w:rsidRPr="00F6055F">
              <w:rPr>
                <w:rFonts w:ascii="Arial" w:eastAsia="Arial Unicode MS" w:hAnsi="Arial" w:cs="Arial"/>
                <w:sz w:val="20"/>
                <w:szCs w:val="20"/>
                <w:lang w:val="en-GB" w:eastAsia="el-GR"/>
              </w:rPr>
              <w:t>ii</w:t>
            </w:r>
            <w:r w:rsidRPr="00F6055F">
              <w:rPr>
                <w:rFonts w:ascii="Arial" w:eastAsia="Arial Unicode MS" w:hAnsi="Arial" w:cs="Arial"/>
                <w:sz w:val="20"/>
                <w:szCs w:val="20"/>
                <w:lang w:eastAsia="el-GR"/>
              </w:rPr>
              <w:t>) «ειδικό</w:t>
            </w:r>
            <w:r w:rsidR="00145CF9"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διαχειριστή</w:t>
            </w:r>
            <w:r w:rsidR="00145CF9"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σημαίνει τον ειδικό διαχειριστή που διορίζεται δυνάμει του άρθρου 46 του  περί Εξυγίανσης Πιστωτικών Ιδρυμάτων και Επενδυτικών Εταιρειών Νόμου</w:t>
            </w:r>
            <w:r w:rsidR="00265197" w:rsidRPr="00F6055F">
              <w:rPr>
                <w:rFonts w:ascii="Arial" w:eastAsia="Arial Unicode MS" w:hAnsi="Arial" w:cs="Arial"/>
                <w:sz w:val="20"/>
                <w:szCs w:val="20"/>
                <w:lang w:eastAsia="el-GR"/>
              </w:rPr>
              <w:t>·</w:t>
            </w:r>
          </w:p>
        </w:tc>
      </w:tr>
      <w:tr w:rsidR="00F6055F" w:rsidRPr="00F6055F" w:rsidTr="00A54882">
        <w:trPr>
          <w:trHeight w:val="272"/>
        </w:trPr>
        <w:tc>
          <w:tcPr>
            <w:tcW w:w="1668" w:type="dxa"/>
          </w:tcPr>
          <w:p w:rsidR="00926462" w:rsidRPr="00F6055F" w:rsidRDefault="00926462" w:rsidP="004666F0">
            <w:pPr>
              <w:spacing w:after="0" w:line="240" w:lineRule="auto"/>
              <w:contextualSpacing/>
              <w:mirrorIndents/>
              <w:rPr>
                <w:rFonts w:ascii="Arial" w:eastAsia="Arial Unicode MS" w:hAnsi="Arial" w:cs="Arial"/>
                <w:sz w:val="20"/>
                <w:szCs w:val="20"/>
                <w:lang w:eastAsia="el-GR"/>
              </w:rPr>
            </w:pPr>
          </w:p>
        </w:tc>
        <w:tc>
          <w:tcPr>
            <w:tcW w:w="8079" w:type="dxa"/>
            <w:gridSpan w:val="6"/>
          </w:tcPr>
          <w:p w:rsidR="00926462" w:rsidRPr="00F6055F" w:rsidRDefault="00926462" w:rsidP="004666F0">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565"/>
        </w:trPr>
        <w:tc>
          <w:tcPr>
            <w:tcW w:w="1668" w:type="dxa"/>
          </w:tcPr>
          <w:p w:rsidR="00926462" w:rsidRPr="00F6055F" w:rsidRDefault="00926462" w:rsidP="004666F0">
            <w:pPr>
              <w:spacing w:after="0" w:line="240" w:lineRule="auto"/>
              <w:contextualSpacing/>
              <w:mirrorIndents/>
              <w:rPr>
                <w:rFonts w:ascii="Arial" w:eastAsia="Arial Unicode MS" w:hAnsi="Arial" w:cs="Arial"/>
                <w:sz w:val="20"/>
                <w:szCs w:val="20"/>
                <w:lang w:eastAsia="el-GR"/>
              </w:rPr>
            </w:pPr>
          </w:p>
        </w:tc>
        <w:tc>
          <w:tcPr>
            <w:tcW w:w="8079" w:type="dxa"/>
            <w:gridSpan w:val="6"/>
          </w:tcPr>
          <w:p w:rsidR="00926462" w:rsidRPr="00F6055F" w:rsidRDefault="005B0876" w:rsidP="00E074C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ii</w:t>
            </w:r>
            <w:r w:rsidR="00BE6D42" w:rsidRPr="00F6055F">
              <w:rPr>
                <w:rFonts w:ascii="Arial" w:eastAsia="Arial Unicode MS" w:hAnsi="Arial" w:cs="Arial"/>
                <w:sz w:val="20"/>
                <w:szCs w:val="20"/>
                <w:lang w:val="en-GB" w:eastAsia="el-GR"/>
              </w:rPr>
              <w:t>i</w:t>
            </w:r>
            <w:r w:rsidRPr="00F6055F">
              <w:rPr>
                <w:rFonts w:ascii="Arial" w:eastAsia="Arial Unicode MS" w:hAnsi="Arial" w:cs="Arial"/>
                <w:sz w:val="20"/>
                <w:szCs w:val="20"/>
                <w:lang w:eastAsia="el-GR"/>
              </w:rPr>
              <w:t>) «εκκαθαριστή</w:t>
            </w:r>
            <w:r w:rsidR="00145CF9"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σημαίνει τον εκκαθαριστή που διορίζεται δυνάμει του άρθρου </w:t>
            </w:r>
            <w:r w:rsidR="00E074C0" w:rsidRPr="00F6055F">
              <w:rPr>
                <w:rFonts w:ascii="Arial" w:eastAsia="Arial Unicode MS" w:hAnsi="Arial" w:cs="Arial"/>
                <w:sz w:val="20"/>
                <w:szCs w:val="20"/>
                <w:lang w:eastAsia="el-GR"/>
              </w:rPr>
              <w:t>15</w:t>
            </w:r>
            <w:r w:rsidRPr="00F6055F">
              <w:rPr>
                <w:rFonts w:ascii="Arial" w:eastAsia="Arial Unicode MS" w:hAnsi="Arial" w:cs="Arial"/>
                <w:sz w:val="20"/>
                <w:szCs w:val="20"/>
                <w:lang w:eastAsia="el-GR"/>
              </w:rPr>
              <w:t xml:space="preserve"> του περί Εκκαθάρισης Πιστωτικών Ιδρυμάτων Νόμου</w:t>
            </w:r>
            <w:r w:rsidR="00265197" w:rsidRPr="00F6055F">
              <w:rPr>
                <w:rFonts w:ascii="Arial" w:eastAsia="Arial Unicode MS" w:hAnsi="Arial" w:cs="Arial"/>
                <w:sz w:val="20"/>
                <w:szCs w:val="20"/>
                <w:lang w:eastAsia="el-GR"/>
              </w:rPr>
              <w:t>·</w:t>
            </w:r>
          </w:p>
        </w:tc>
      </w:tr>
      <w:tr w:rsidR="00F6055F" w:rsidRPr="00F6055F" w:rsidTr="00A54882">
        <w:trPr>
          <w:trHeight w:val="87"/>
        </w:trPr>
        <w:tc>
          <w:tcPr>
            <w:tcW w:w="1668" w:type="dxa"/>
          </w:tcPr>
          <w:p w:rsidR="00BE6D42" w:rsidRPr="00F6055F" w:rsidRDefault="00BE6D42" w:rsidP="00BE6D42">
            <w:pPr>
              <w:spacing w:after="0" w:line="240" w:lineRule="auto"/>
              <w:contextualSpacing/>
              <w:mirrorIndents/>
              <w:rPr>
                <w:rFonts w:ascii="Arial" w:eastAsia="Arial Unicode MS" w:hAnsi="Arial" w:cs="Arial"/>
                <w:sz w:val="20"/>
                <w:szCs w:val="20"/>
                <w:lang w:eastAsia="el-GR"/>
              </w:rPr>
            </w:pPr>
          </w:p>
        </w:tc>
        <w:tc>
          <w:tcPr>
            <w:tcW w:w="8079" w:type="dxa"/>
            <w:gridSpan w:val="6"/>
          </w:tcPr>
          <w:p w:rsidR="00BE6D42" w:rsidRPr="00F6055F" w:rsidRDefault="00BE6D42" w:rsidP="00BE6D42">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87"/>
        </w:trPr>
        <w:tc>
          <w:tcPr>
            <w:tcW w:w="1668" w:type="dxa"/>
          </w:tcPr>
          <w:p w:rsidR="00265197" w:rsidRPr="00F6055F" w:rsidRDefault="00265197" w:rsidP="00BE6D42">
            <w:pPr>
              <w:spacing w:after="0" w:line="240" w:lineRule="auto"/>
              <w:contextualSpacing/>
              <w:mirrorIndents/>
              <w:rPr>
                <w:rFonts w:ascii="Arial" w:eastAsia="Arial Unicode MS" w:hAnsi="Arial" w:cs="Arial"/>
                <w:sz w:val="20"/>
                <w:szCs w:val="20"/>
                <w:lang w:eastAsia="el-GR"/>
              </w:rPr>
            </w:pPr>
          </w:p>
        </w:tc>
        <w:tc>
          <w:tcPr>
            <w:tcW w:w="8079" w:type="dxa"/>
            <w:gridSpan w:val="6"/>
          </w:tcPr>
          <w:p w:rsidR="00265197" w:rsidRPr="00F6055F" w:rsidRDefault="00265197" w:rsidP="00265197">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iv</w:t>
            </w:r>
            <w:r w:rsidRPr="00F6055F">
              <w:rPr>
                <w:rFonts w:ascii="Arial" w:eastAsia="Arial Unicode MS" w:hAnsi="Arial" w:cs="Arial"/>
                <w:sz w:val="20"/>
                <w:szCs w:val="20"/>
                <w:lang w:eastAsia="el-GR"/>
              </w:rPr>
              <w:t>) «</w:t>
            </w:r>
            <w:r w:rsidR="00FE73C6" w:rsidRPr="00F6055F">
              <w:rPr>
                <w:rFonts w:ascii="Arial" w:eastAsia="Arial Unicode MS" w:hAnsi="Arial" w:cs="Arial"/>
                <w:sz w:val="20"/>
                <w:szCs w:val="20"/>
                <w:lang w:eastAsia="el-GR"/>
              </w:rPr>
              <w:t>ίδρυμα</w:t>
            </w:r>
            <w:r w:rsidRPr="00F6055F">
              <w:rPr>
                <w:rFonts w:ascii="Arial" w:eastAsia="Arial Unicode MS" w:hAnsi="Arial" w:cs="Arial"/>
                <w:sz w:val="20"/>
                <w:szCs w:val="20"/>
                <w:lang w:eastAsia="el-GR"/>
              </w:rPr>
              <w:t xml:space="preserve"> τρίτης χώρας» έχει την έννοια που αποδίδεται στον όρο αυτό από το άρθρο 2 του περί Εργασιών Πιστωτικών Ιδρυμάτων Νόμου·</w:t>
            </w:r>
          </w:p>
        </w:tc>
      </w:tr>
      <w:tr w:rsidR="00F6055F" w:rsidRPr="00F6055F" w:rsidTr="00A54882">
        <w:trPr>
          <w:trHeight w:val="87"/>
        </w:trPr>
        <w:tc>
          <w:tcPr>
            <w:tcW w:w="1668" w:type="dxa"/>
          </w:tcPr>
          <w:p w:rsidR="00265197" w:rsidRPr="00F6055F" w:rsidRDefault="00265197" w:rsidP="00BE6D42">
            <w:pPr>
              <w:spacing w:after="0" w:line="240" w:lineRule="auto"/>
              <w:contextualSpacing/>
              <w:mirrorIndents/>
              <w:rPr>
                <w:rFonts w:ascii="Arial" w:eastAsia="Arial Unicode MS" w:hAnsi="Arial" w:cs="Arial"/>
                <w:sz w:val="20"/>
                <w:szCs w:val="20"/>
                <w:lang w:eastAsia="el-GR"/>
              </w:rPr>
            </w:pPr>
          </w:p>
        </w:tc>
        <w:tc>
          <w:tcPr>
            <w:tcW w:w="8079" w:type="dxa"/>
            <w:gridSpan w:val="6"/>
          </w:tcPr>
          <w:p w:rsidR="00265197" w:rsidRPr="00F6055F" w:rsidRDefault="00265197" w:rsidP="00BE6D42">
            <w:pPr>
              <w:spacing w:after="0" w:line="240" w:lineRule="auto"/>
              <w:contextualSpacing/>
              <w:mirrorIndents/>
              <w:jc w:val="both"/>
              <w:rPr>
                <w:rFonts w:ascii="Arial" w:eastAsia="Arial Unicode MS" w:hAnsi="Arial" w:cs="Arial"/>
                <w:sz w:val="20"/>
                <w:szCs w:val="20"/>
                <w:lang w:eastAsia="el-GR"/>
              </w:rPr>
            </w:pPr>
          </w:p>
        </w:tc>
      </w:tr>
      <w:tr w:rsidR="00F6055F" w:rsidRPr="00F6055F" w:rsidTr="00517D90">
        <w:trPr>
          <w:trHeight w:val="565"/>
        </w:trPr>
        <w:tc>
          <w:tcPr>
            <w:tcW w:w="1668" w:type="dxa"/>
          </w:tcPr>
          <w:p w:rsidR="00AE0807" w:rsidRPr="00F6055F" w:rsidRDefault="00AE0807" w:rsidP="00AE0807">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Επίσημη </w:t>
            </w:r>
          </w:p>
          <w:p w:rsidR="00AE0807" w:rsidRPr="00F6055F" w:rsidRDefault="00AE0807" w:rsidP="00AE0807">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Εφημερίδα της </w:t>
            </w:r>
          </w:p>
          <w:p w:rsidR="00AE0807" w:rsidRPr="00F6055F" w:rsidRDefault="00AE0807" w:rsidP="00AE0807">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Ε.Ε. : </w:t>
            </w:r>
            <w:r w:rsidRPr="00F6055F">
              <w:rPr>
                <w:rFonts w:ascii="Arial" w:eastAsia="Arial Unicode MS" w:hAnsi="Arial" w:cs="Arial"/>
                <w:sz w:val="20"/>
                <w:szCs w:val="20"/>
                <w:lang w:val="en-GB" w:eastAsia="el-GR"/>
              </w:rPr>
              <w:t>L</w:t>
            </w:r>
            <w:r w:rsidRPr="00F6055F">
              <w:rPr>
                <w:rFonts w:ascii="Arial" w:eastAsia="Arial Unicode MS" w:hAnsi="Arial" w:cs="Arial"/>
                <w:sz w:val="20"/>
                <w:szCs w:val="20"/>
                <w:lang w:eastAsia="el-GR"/>
              </w:rPr>
              <w:t xml:space="preserve"> 119,</w:t>
            </w:r>
          </w:p>
          <w:p w:rsidR="00AE0807" w:rsidRPr="00F6055F" w:rsidRDefault="00AE0807" w:rsidP="00AE0807">
            <w:pPr>
              <w:spacing w:after="0" w:line="240" w:lineRule="auto"/>
              <w:contextualSpacing/>
              <w:mirrorIndents/>
              <w:rPr>
                <w:rFonts w:ascii="Arial" w:eastAsia="Arial Unicode MS" w:hAnsi="Arial" w:cs="Arial"/>
                <w:sz w:val="20"/>
                <w:szCs w:val="20"/>
                <w:lang w:val="en-GB" w:eastAsia="el-GR"/>
              </w:rPr>
            </w:pPr>
            <w:r w:rsidRPr="00F6055F">
              <w:rPr>
                <w:rFonts w:ascii="Arial" w:eastAsia="Arial Unicode MS" w:hAnsi="Arial" w:cs="Arial"/>
                <w:sz w:val="20"/>
                <w:szCs w:val="20"/>
                <w:lang w:val="en-GB" w:eastAsia="el-GR"/>
              </w:rPr>
              <w:t>4</w:t>
            </w: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5</w:t>
            </w:r>
            <w:r w:rsidRPr="00F6055F">
              <w:rPr>
                <w:rFonts w:ascii="Arial" w:eastAsia="Arial Unicode MS" w:hAnsi="Arial" w:cs="Arial"/>
                <w:sz w:val="20"/>
                <w:szCs w:val="20"/>
                <w:lang w:eastAsia="el-GR"/>
              </w:rPr>
              <w:t>.201</w:t>
            </w:r>
            <w:r w:rsidRPr="00F6055F">
              <w:rPr>
                <w:rFonts w:ascii="Arial" w:eastAsia="Arial Unicode MS" w:hAnsi="Arial" w:cs="Arial"/>
                <w:sz w:val="20"/>
                <w:szCs w:val="20"/>
                <w:lang w:val="en-GB" w:eastAsia="el-GR"/>
              </w:rPr>
              <w:t>6</w:t>
            </w:r>
          </w:p>
          <w:p w:rsidR="00BE6D42" w:rsidRPr="00F6055F" w:rsidRDefault="00AE0807" w:rsidP="00BE6D42">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σ.1</w:t>
            </w:r>
          </w:p>
        </w:tc>
        <w:tc>
          <w:tcPr>
            <w:tcW w:w="8079" w:type="dxa"/>
            <w:gridSpan w:val="6"/>
          </w:tcPr>
          <w:p w:rsidR="00BE6D42" w:rsidRPr="00F6055F" w:rsidRDefault="00BE6D42" w:rsidP="00BE6D42">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v</w:t>
            </w:r>
            <w:r w:rsidRPr="00F6055F">
              <w:rPr>
                <w:rFonts w:ascii="Arial" w:eastAsia="Arial Unicode MS" w:hAnsi="Arial" w:cs="Arial"/>
                <w:sz w:val="20"/>
                <w:szCs w:val="20"/>
                <w:lang w:eastAsia="el-GR"/>
              </w:rPr>
              <w:t>) «Κανονισμός (ΕΕ) 2016/679» σημαίνει την πράξη της Ευρωπαϊκής Ένωσης με τίτλο «Κανονισμό</w:t>
            </w:r>
            <w:r w:rsidR="009054A7"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00265197" w:rsidRPr="00F6055F">
              <w:rPr>
                <w:rFonts w:ascii="Arial" w:eastAsia="Arial Unicode MS" w:hAnsi="Arial" w:cs="Arial"/>
                <w:sz w:val="20"/>
                <w:szCs w:val="20"/>
                <w:lang w:eastAsia="el-GR"/>
              </w:rPr>
              <w:t>·</w:t>
            </w:r>
          </w:p>
        </w:tc>
      </w:tr>
      <w:tr w:rsidR="00F6055F" w:rsidRPr="00F6055F" w:rsidTr="00517D90">
        <w:trPr>
          <w:trHeight w:val="90"/>
        </w:trPr>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565"/>
        </w:trPr>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5B0876" w:rsidRPr="00F6055F" w:rsidRDefault="005B0876" w:rsidP="00E074C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v</w:t>
            </w:r>
            <w:r w:rsidRPr="00F6055F">
              <w:rPr>
                <w:rFonts w:ascii="Arial" w:eastAsia="Arial Unicode MS" w:hAnsi="Arial" w:cs="Arial"/>
                <w:sz w:val="20"/>
                <w:szCs w:val="20"/>
                <w:lang w:eastAsia="el-GR"/>
              </w:rPr>
              <w:t>) «προσωρινό</w:t>
            </w:r>
            <w:r w:rsidR="009054A7"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εκκαθαριστή</w:t>
            </w:r>
            <w:r w:rsidR="009054A7"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σημαίνει τον προσωρινό εκκαθαριστή που διορίζεται δυνάμει του άρθρου </w:t>
            </w:r>
            <w:r w:rsidR="00E074C0" w:rsidRPr="00F6055F">
              <w:rPr>
                <w:rFonts w:ascii="Arial" w:eastAsia="Arial Unicode MS" w:hAnsi="Arial" w:cs="Arial"/>
                <w:sz w:val="20"/>
                <w:szCs w:val="20"/>
                <w:lang w:eastAsia="el-GR"/>
              </w:rPr>
              <w:t>16</w:t>
            </w:r>
            <w:r w:rsidRPr="00F6055F">
              <w:rPr>
                <w:rFonts w:ascii="Arial" w:eastAsia="Arial Unicode MS" w:hAnsi="Arial" w:cs="Arial"/>
                <w:sz w:val="20"/>
                <w:szCs w:val="20"/>
                <w:lang w:eastAsia="el-GR"/>
              </w:rPr>
              <w:t xml:space="preserve"> του περί Εκκαθάρισης Πιστωτικών Ιδρυμάτων Νόμου</w:t>
            </w:r>
            <w:r w:rsidR="00265197" w:rsidRPr="00F6055F">
              <w:rPr>
                <w:rFonts w:ascii="Arial" w:eastAsia="Arial Unicode MS" w:hAnsi="Arial" w:cs="Arial"/>
                <w:sz w:val="20"/>
                <w:szCs w:val="20"/>
                <w:lang w:eastAsia="el-GR"/>
              </w:rPr>
              <w:t>·</w:t>
            </w:r>
          </w:p>
        </w:tc>
      </w:tr>
      <w:tr w:rsidR="00F6055F" w:rsidRPr="00F6055F" w:rsidTr="00A54882">
        <w:trPr>
          <w:trHeight w:val="87"/>
        </w:trPr>
        <w:tc>
          <w:tcPr>
            <w:tcW w:w="1668" w:type="dxa"/>
          </w:tcPr>
          <w:p w:rsidR="005B7FEC" w:rsidRPr="00F6055F" w:rsidRDefault="005B7FEC"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5B0876" w:rsidRPr="00F6055F" w:rsidRDefault="005B0876" w:rsidP="00DE0DCB">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87"/>
        </w:trPr>
        <w:tc>
          <w:tcPr>
            <w:tcW w:w="1668" w:type="dxa"/>
          </w:tcPr>
          <w:p w:rsidR="00BE6D42" w:rsidRPr="00F6055F" w:rsidRDefault="00BE6D42"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BE6D42" w:rsidRPr="00F6055F" w:rsidRDefault="00BE6D42" w:rsidP="007D2DC5">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vi</w:t>
            </w:r>
            <w:r w:rsidRPr="00F6055F">
              <w:rPr>
                <w:rFonts w:ascii="Arial" w:eastAsia="Arial Unicode MS" w:hAnsi="Arial" w:cs="Arial"/>
                <w:sz w:val="20"/>
                <w:szCs w:val="20"/>
                <w:lang w:eastAsia="el-GR"/>
              </w:rPr>
              <w:t>) «υποκατάστημα ιδρύματος τρίτης χώρας» έχει την έννοια που αποδίδεται στον όρο αυτό από το άρθρο 2 του περί Εργασιών Πιστωτικών Ιδρυμάτων Νόμου</w:t>
            </w:r>
            <w:r w:rsidR="00265197" w:rsidRPr="00F6055F">
              <w:rPr>
                <w:rFonts w:ascii="Arial" w:eastAsia="Arial Unicode MS" w:hAnsi="Arial" w:cs="Arial"/>
                <w:sz w:val="20"/>
                <w:szCs w:val="20"/>
                <w:lang w:eastAsia="el-GR"/>
              </w:rPr>
              <w:t>.</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με την αντικατάσταση του ορισμού του όρου «μη διαθέσιμη κατάθεση» με τον ακόλουθο νέο ορισμό:</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«μη διαθέσιμη κατάθεση» σημαίνει κατάθεση ληξιπρόθεσμη και απαιτητή, η οποία δεν έχει καταβληθεί από ΑΠΙ βάσει των ισχυόντων νόμιμων ή συμβατικών όρων και ως προς την οποία συντρέχει οποιαδήποτε από τις ακόλουθες προϋποθέσεις:– </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567"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007A0391" w:rsidRPr="00F6055F">
              <w:rPr>
                <w:rFonts w:ascii="Arial" w:eastAsia="Arial Unicode MS" w:hAnsi="Arial" w:cs="Arial"/>
                <w:sz w:val="20"/>
                <w:szCs w:val="20"/>
                <w:lang w:val="en-GB" w:eastAsia="el-GR"/>
              </w:rPr>
              <w:t>i</w:t>
            </w:r>
            <w:proofErr w:type="spellEnd"/>
            <w:r w:rsidRPr="00F6055F">
              <w:rPr>
                <w:rFonts w:ascii="Arial" w:eastAsia="Arial Unicode MS" w:hAnsi="Arial" w:cs="Arial"/>
                <w:sz w:val="20"/>
                <w:szCs w:val="20"/>
                <w:lang w:eastAsia="el-GR"/>
              </w:rPr>
              <w:t>)</w:t>
            </w:r>
          </w:p>
        </w:tc>
        <w:tc>
          <w:tcPr>
            <w:tcW w:w="7512" w:type="dxa"/>
            <w:gridSpan w:val="5"/>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η Κεντρική Τράπεζα έχει διαπιστώσει και έχει ενημερώσει την Επιτροπή ότι ΑΠΙ δεν φαίνεται προς το παρόν ικανό να επιστρέψει την κατάθεση για λόγους που έχουν άμεση σχέση με την οικονομική του κατάσταση και κρίνει ότι δεν θα καταστεί ικανό προς τούτο στο προσεχές μέλλον·</w:t>
            </w: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567"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512" w:type="dxa"/>
            <w:gridSpan w:val="5"/>
          </w:tcPr>
          <w:p w:rsidR="005B0876" w:rsidRPr="00F6055F" w:rsidDel="00FD69A3"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567"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007A0391" w:rsidRPr="00F6055F">
              <w:rPr>
                <w:rFonts w:ascii="Arial" w:eastAsia="Arial Unicode MS" w:hAnsi="Arial" w:cs="Arial"/>
                <w:sz w:val="20"/>
                <w:szCs w:val="20"/>
                <w:lang w:val="en-GB" w:eastAsia="el-GR"/>
              </w:rPr>
              <w:t>ii</w:t>
            </w:r>
            <w:r w:rsidRPr="00F6055F">
              <w:rPr>
                <w:rFonts w:ascii="Arial" w:eastAsia="Arial Unicode MS" w:hAnsi="Arial" w:cs="Arial"/>
                <w:sz w:val="20"/>
                <w:szCs w:val="20"/>
                <w:lang w:eastAsia="el-GR"/>
              </w:rPr>
              <w:t>)</w:t>
            </w:r>
          </w:p>
        </w:tc>
        <w:tc>
          <w:tcPr>
            <w:tcW w:w="7512" w:type="dxa"/>
            <w:gridSpan w:val="5"/>
          </w:tcPr>
          <w:p w:rsidR="005B0876" w:rsidRPr="00F6055F" w:rsidRDefault="005B0876" w:rsidP="00643282">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έχει εκδοθεί από Δικαστήριο της Δημοκρατίας διάταγμα για εκκαθάριση ΑΠΙ σύμφωνα με τον περί Εκκαθάρισης Πιστωτικών Ιδρυμάτων Νόμο, ή σε περίπτωση υποκαταστήματος ιδρύματος τρίτης χώρας, έχει εκδοθεί αντίστοιχο διάταγμα από δικαστική αρχή της χώρας που αποτελεί την έδρα του·»</w:t>
            </w: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E44508" w:rsidRPr="00F6055F" w:rsidRDefault="00E44508"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94(I)/2021</w:t>
            </w:r>
          </w:p>
          <w:p w:rsidR="00E44508" w:rsidRPr="00F6055F" w:rsidRDefault="00E44508"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(γ)  με την αντικατάσταση του όρου «ίδρυμα» με τ</w:t>
            </w:r>
            <w:r w:rsidR="0019783E" w:rsidRPr="00F6055F">
              <w:rPr>
                <w:rFonts w:ascii="Arial" w:eastAsia="Arial Unicode MS" w:hAnsi="Arial" w:cs="Arial"/>
                <w:sz w:val="20"/>
                <w:szCs w:val="20"/>
                <w:lang w:eastAsia="el-GR"/>
              </w:rPr>
              <w:t>ο</w:t>
            </w:r>
            <w:r w:rsidRPr="00F6055F">
              <w:rPr>
                <w:rFonts w:ascii="Arial" w:eastAsia="Arial Unicode MS" w:hAnsi="Arial" w:cs="Arial"/>
                <w:sz w:val="20"/>
                <w:szCs w:val="20"/>
                <w:lang w:eastAsia="el-GR"/>
              </w:rPr>
              <w:t>ν ακόλουθο νέο ορισμό:</w:t>
            </w:r>
          </w:p>
          <w:p w:rsidR="00E074C0" w:rsidRPr="00F6055F" w:rsidRDefault="00E074C0" w:rsidP="005B0876">
            <w:pPr>
              <w:spacing w:after="0" w:line="240" w:lineRule="auto"/>
              <w:contextualSpacing/>
              <w:mirrorIndents/>
              <w:jc w:val="both"/>
              <w:rPr>
                <w:rFonts w:ascii="Arial" w:eastAsia="Arial Unicode MS" w:hAnsi="Arial" w:cs="Arial"/>
                <w:sz w:val="8"/>
                <w:szCs w:val="8"/>
                <w:lang w:eastAsia="el-GR"/>
              </w:rPr>
            </w:pPr>
          </w:p>
          <w:p w:rsidR="005B0876" w:rsidRPr="00F6055F" w:rsidRDefault="005B0876" w:rsidP="00E074C0">
            <w:pPr>
              <w:spacing w:before="120"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«ίδρυμα» </w:t>
            </w:r>
            <w:r w:rsidR="0073240F" w:rsidRPr="00F6055F">
              <w:rPr>
                <w:rFonts w:ascii="Arial" w:eastAsia="Arial Unicode MS" w:hAnsi="Arial" w:cs="Arial"/>
                <w:sz w:val="20"/>
                <w:szCs w:val="20"/>
                <w:lang w:eastAsia="el-GR"/>
              </w:rPr>
              <w:t xml:space="preserve">σημαίνει ΑΠΙ ή </w:t>
            </w:r>
            <w:r w:rsidR="00016785" w:rsidRPr="00F6055F">
              <w:rPr>
                <w:rFonts w:ascii="Arial" w:eastAsia="Arial Unicode MS" w:hAnsi="Arial" w:cs="Arial"/>
                <w:sz w:val="20"/>
                <w:szCs w:val="20"/>
                <w:lang w:eastAsia="el-GR"/>
              </w:rPr>
              <w:t>επιχείρηση επενδύσεων</w:t>
            </w:r>
            <w:r w:rsidR="0073240F" w:rsidRPr="00F6055F">
              <w:rPr>
                <w:rFonts w:ascii="Arial" w:eastAsia="Arial Unicode MS" w:hAnsi="Arial" w:cs="Arial"/>
                <w:sz w:val="20"/>
                <w:szCs w:val="20"/>
                <w:lang w:eastAsia="el-GR"/>
              </w:rPr>
              <w:t xml:space="preserve"> που υπόκειται </w:t>
            </w:r>
            <w:r w:rsidR="00643282" w:rsidRPr="00F6055F">
              <w:rPr>
                <w:rFonts w:ascii="Arial" w:eastAsia="Arial Unicode MS" w:hAnsi="Arial" w:cs="Arial"/>
                <w:sz w:val="20"/>
                <w:szCs w:val="20"/>
                <w:lang w:eastAsia="el-GR"/>
              </w:rPr>
              <w:t>σ</w:t>
            </w:r>
            <w:r w:rsidR="0073240F" w:rsidRPr="00F6055F">
              <w:rPr>
                <w:rFonts w:ascii="Arial" w:eastAsia="Arial Unicode MS" w:hAnsi="Arial" w:cs="Arial"/>
                <w:sz w:val="20"/>
                <w:szCs w:val="20"/>
                <w:lang w:eastAsia="el-GR"/>
              </w:rPr>
              <w:t xml:space="preserve">την απαίτηση αρχικού κεφαλαίου που καθορίζεται στο άρθρο </w:t>
            </w:r>
            <w:r w:rsidR="00E44508" w:rsidRPr="00F6055F">
              <w:rPr>
                <w:rFonts w:ascii="Arial" w:eastAsia="Arial Unicode MS" w:hAnsi="Arial" w:cs="Arial"/>
                <w:sz w:val="20"/>
                <w:szCs w:val="20"/>
                <w:lang w:eastAsia="el-GR"/>
              </w:rPr>
              <w:t>7 του περί Κεφαλαιακής Επάρκειας ΕΠΕΥ Νόμου</w:t>
            </w:r>
            <w:r w:rsidR="007A5580" w:rsidRPr="00F6055F">
              <w:rPr>
                <w:rFonts w:ascii="Arial" w:eastAsia="Arial Unicode MS" w:hAnsi="Arial" w:cs="Arial"/>
                <w:sz w:val="20"/>
                <w:szCs w:val="20"/>
                <w:lang w:eastAsia="el-GR"/>
              </w:rPr>
              <w:t>·</w:t>
            </w:r>
            <w:r w:rsidRPr="00F6055F">
              <w:rPr>
                <w:rFonts w:ascii="Arial" w:eastAsia="Arial Unicode MS" w:hAnsi="Arial" w:cs="Arial"/>
                <w:sz w:val="20"/>
                <w:szCs w:val="20"/>
                <w:lang w:eastAsia="el-GR"/>
              </w:rPr>
              <w:t>»</w:t>
            </w: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1050"/>
        </w:trPr>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E074C0" w:rsidRPr="00F6055F" w:rsidRDefault="00E074C0" w:rsidP="005B0876">
            <w:pPr>
              <w:spacing w:after="0" w:line="240" w:lineRule="auto"/>
              <w:contextualSpacing/>
              <w:mirrorIndents/>
              <w:jc w:val="both"/>
              <w:rPr>
                <w:rFonts w:ascii="Arial" w:eastAsia="Arial Unicode MS" w:hAnsi="Arial" w:cs="Arial"/>
                <w:sz w:val="20"/>
                <w:szCs w:val="20"/>
                <w:lang w:eastAsia="el-GR"/>
              </w:rPr>
            </w:pP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Επίσημη</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Εφημερίδα</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της ΕΕ:</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L 176,</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27.6.2013,</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σ. 1∙</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L 143,</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9.6.2015,</w:t>
            </w:r>
          </w:p>
          <w:p w:rsidR="00E074C0" w:rsidRPr="00F6055F" w:rsidRDefault="00E074C0" w:rsidP="00E074C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σ. 7.</w:t>
            </w: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(δ)  με την αντικατάσταση του όρου «πιστωτικό ίδρυμα» με τον ακόλουθο νέο ορισμό:</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3F373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«πιστωτικό ίδρυμα» έχει την έννοια που αποδίδεται στον όρο αυτό από το Άρθρο 4, παράγραφος 1, σημείο 1) του Κανονισμού (ΕΕ) αριθ. 575/2013</w:t>
            </w:r>
            <w:r w:rsidR="007A5580" w:rsidRPr="00F6055F">
              <w:rPr>
                <w:rFonts w:ascii="Arial" w:eastAsia="Arial Unicode MS" w:hAnsi="Arial" w:cs="Arial"/>
                <w:sz w:val="20"/>
                <w:szCs w:val="20"/>
                <w:lang w:eastAsia="el-GR"/>
              </w:rPr>
              <w:t>·</w:t>
            </w:r>
            <w:r w:rsidRPr="00F6055F">
              <w:rPr>
                <w:rFonts w:ascii="Arial" w:eastAsia="Arial Unicode MS" w:hAnsi="Arial" w:cs="Arial"/>
                <w:sz w:val="20"/>
                <w:szCs w:val="20"/>
                <w:lang w:eastAsia="el-GR"/>
              </w:rPr>
              <w:t>»</w:t>
            </w:r>
          </w:p>
        </w:tc>
      </w:tr>
      <w:tr w:rsidR="00F6055F" w:rsidRPr="00F6055F"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5B0876" w:rsidRPr="00F6055F" w:rsidRDefault="005B0876" w:rsidP="005B0876">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w:t>
            </w:r>
          </w:p>
          <w:p w:rsidR="005B0876" w:rsidRPr="00F6055F" w:rsidRDefault="005B0876" w:rsidP="00517D90">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βασικού νόμου</w:t>
            </w:r>
            <w:r w:rsidR="00176BF3" w:rsidRPr="00F6055F">
              <w:rPr>
                <w:rFonts w:ascii="Arial" w:eastAsia="Arial Unicode MS" w:hAnsi="Arial" w:cs="Arial"/>
                <w:sz w:val="20"/>
                <w:szCs w:val="20"/>
                <w:lang w:eastAsia="el-GR"/>
              </w:rPr>
              <w:t xml:space="preserve"> με την αντικατάσταση του όρου «πιστωτικό ίδρυμα»</w:t>
            </w: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3. </w:t>
            </w:r>
            <w:r w:rsidR="00F34C02" w:rsidRPr="00F6055F">
              <w:rPr>
                <w:rFonts w:ascii="Arial" w:eastAsia="Arial Unicode MS" w:hAnsi="Arial" w:cs="Arial"/>
                <w:sz w:val="20"/>
                <w:szCs w:val="20"/>
                <w:lang w:eastAsia="el-GR"/>
              </w:rPr>
              <w:t xml:space="preserve">Ο </w:t>
            </w:r>
            <w:r w:rsidR="009010DF" w:rsidRPr="00F6055F">
              <w:rPr>
                <w:rFonts w:ascii="Arial" w:eastAsia="Arial Unicode MS" w:hAnsi="Arial" w:cs="Arial"/>
                <w:sz w:val="20"/>
                <w:szCs w:val="20"/>
                <w:lang w:eastAsia="el-GR"/>
              </w:rPr>
              <w:t xml:space="preserve">βασικός νόμος τροποποιείται με την αντικατάσταση του όρου «πιστωτικό ίδρυμα» οπουδήποτε αυτός απαντάται </w:t>
            </w:r>
            <w:r w:rsidR="00F60F35" w:rsidRPr="00F6055F">
              <w:rPr>
                <w:rFonts w:ascii="Arial" w:eastAsia="Arial Unicode MS" w:hAnsi="Arial" w:cs="Arial"/>
                <w:sz w:val="20"/>
                <w:szCs w:val="20"/>
                <w:lang w:eastAsia="el-GR"/>
              </w:rPr>
              <w:t>με τον όρο «ΑΠΙ»</w:t>
            </w:r>
            <w:r w:rsidR="00C7783C" w:rsidRPr="00F6055F">
              <w:rPr>
                <w:rFonts w:ascii="Arial" w:eastAsia="Arial Unicode MS" w:hAnsi="Arial" w:cs="Arial"/>
                <w:sz w:val="20"/>
                <w:szCs w:val="20"/>
                <w:lang w:eastAsia="el-GR"/>
              </w:rPr>
              <w:t xml:space="preserve"> </w:t>
            </w:r>
            <w:r w:rsidR="00F34C02" w:rsidRPr="00F6055F">
              <w:rPr>
                <w:rFonts w:ascii="Arial" w:eastAsia="Arial Unicode MS" w:hAnsi="Arial" w:cs="Arial"/>
                <w:sz w:val="20"/>
                <w:szCs w:val="20"/>
                <w:lang w:eastAsia="el-GR"/>
              </w:rPr>
              <w:t xml:space="preserve"> στον κατάλληλο γραμματικό τύπο</w:t>
            </w:r>
            <w:r w:rsidR="00F34C02" w:rsidRPr="00F6055F">
              <w:rPr>
                <w:rFonts w:ascii="Arial" w:hAnsi="Arial"/>
                <w:sz w:val="20"/>
              </w:rPr>
              <w:t xml:space="preserve"> </w:t>
            </w:r>
            <w:r w:rsidR="00C7783C" w:rsidRPr="00F6055F">
              <w:rPr>
                <w:rFonts w:ascii="Arial" w:hAnsi="Arial"/>
                <w:sz w:val="20"/>
              </w:rPr>
              <w:t>εκτός</w:t>
            </w:r>
            <w:r w:rsidR="00F34C02" w:rsidRPr="00F6055F">
              <w:rPr>
                <w:rFonts w:ascii="Arial" w:hAnsi="Arial"/>
                <w:sz w:val="20"/>
              </w:rPr>
              <w:t xml:space="preserve"> από τις αναφορές </w:t>
            </w:r>
            <w:r w:rsidR="00F34C02" w:rsidRPr="00F6055F">
              <w:rPr>
                <w:rFonts w:ascii="Arial" w:eastAsia="Arial Unicode MS" w:hAnsi="Arial" w:cs="Arial"/>
                <w:sz w:val="20"/>
                <w:szCs w:val="20"/>
                <w:lang w:eastAsia="el-GR"/>
              </w:rPr>
              <w:t>στο</w:t>
            </w:r>
            <w:r w:rsidR="00F26921" w:rsidRPr="00F6055F">
              <w:rPr>
                <w:rFonts w:ascii="Arial" w:eastAsia="Arial Unicode MS" w:hAnsi="Arial" w:cs="Arial"/>
                <w:sz w:val="20"/>
                <w:szCs w:val="20"/>
                <w:lang w:eastAsia="el-GR"/>
              </w:rPr>
              <w:t>ν ορισμό τ</w:t>
            </w:r>
            <w:r w:rsidR="00B870D2" w:rsidRPr="00F6055F">
              <w:rPr>
                <w:rFonts w:ascii="Arial" w:eastAsia="Arial Unicode MS" w:hAnsi="Arial" w:cs="Arial"/>
                <w:sz w:val="20"/>
                <w:szCs w:val="20"/>
                <w:lang w:eastAsia="el-GR"/>
              </w:rPr>
              <w:t>ου</w:t>
            </w:r>
            <w:r w:rsidR="00F26921" w:rsidRPr="00F6055F">
              <w:rPr>
                <w:rFonts w:ascii="Arial" w:eastAsia="Arial Unicode MS" w:hAnsi="Arial" w:cs="Arial"/>
                <w:sz w:val="20"/>
                <w:szCs w:val="20"/>
                <w:lang w:eastAsia="el-GR"/>
              </w:rPr>
              <w:t xml:space="preserve"> </w:t>
            </w:r>
            <w:r w:rsidR="00B870D2" w:rsidRPr="00F6055F">
              <w:rPr>
                <w:rFonts w:ascii="Arial" w:eastAsia="Arial Unicode MS" w:hAnsi="Arial" w:cs="Arial"/>
                <w:sz w:val="20"/>
                <w:szCs w:val="20"/>
                <w:lang w:eastAsia="el-GR"/>
              </w:rPr>
              <w:t>όρου</w:t>
            </w:r>
            <w:r w:rsidR="00F26921" w:rsidRPr="00F6055F">
              <w:rPr>
                <w:rFonts w:ascii="Arial" w:eastAsia="Arial Unicode MS" w:hAnsi="Arial" w:cs="Arial"/>
                <w:sz w:val="20"/>
                <w:szCs w:val="20"/>
                <w:lang w:eastAsia="el-GR"/>
              </w:rPr>
              <w:t xml:space="preserve"> «κατάθεση»</w:t>
            </w:r>
            <w:r w:rsidR="00F34C02" w:rsidRPr="00F6055F">
              <w:rPr>
                <w:rFonts w:ascii="Arial" w:eastAsia="Arial Unicode MS" w:hAnsi="Arial" w:cs="Arial"/>
                <w:sz w:val="20"/>
                <w:szCs w:val="20"/>
                <w:lang w:eastAsia="el-GR"/>
              </w:rPr>
              <w:t xml:space="preserve"> </w:t>
            </w:r>
            <w:r w:rsidR="00F26921" w:rsidRPr="00F6055F">
              <w:rPr>
                <w:rFonts w:ascii="Arial" w:hAnsi="Arial"/>
                <w:sz w:val="20"/>
              </w:rPr>
              <w:t xml:space="preserve">στο </w:t>
            </w:r>
            <w:r w:rsidR="00F26921" w:rsidRPr="00F6055F">
              <w:rPr>
                <w:rFonts w:ascii="Arial" w:eastAsia="Arial Unicode MS" w:hAnsi="Arial" w:cs="Arial"/>
                <w:sz w:val="20"/>
                <w:szCs w:val="20"/>
                <w:lang w:eastAsia="el-GR"/>
              </w:rPr>
              <w:t xml:space="preserve">άρθρο 2, στο </w:t>
            </w:r>
            <w:r w:rsidR="00F34C02" w:rsidRPr="00F6055F">
              <w:rPr>
                <w:rFonts w:ascii="Arial" w:hAnsi="Arial"/>
                <w:sz w:val="20"/>
              </w:rPr>
              <w:t xml:space="preserve">εδάφιο (2) του άρθρου 9, </w:t>
            </w:r>
            <w:r w:rsidR="00643282" w:rsidRPr="00F6055F">
              <w:rPr>
                <w:rFonts w:ascii="Arial" w:eastAsia="Arial Unicode MS" w:hAnsi="Arial" w:cs="Arial"/>
                <w:sz w:val="20"/>
                <w:szCs w:val="20"/>
                <w:lang w:eastAsia="el-GR"/>
              </w:rPr>
              <w:t xml:space="preserve">στο εδάφιο (2) του </w:t>
            </w:r>
            <w:r w:rsidR="00F34C02" w:rsidRPr="00F6055F">
              <w:rPr>
                <w:rFonts w:ascii="Arial" w:eastAsia="Arial Unicode MS" w:hAnsi="Arial" w:cs="Arial"/>
                <w:sz w:val="20"/>
                <w:szCs w:val="20"/>
                <w:lang w:eastAsia="el-GR"/>
              </w:rPr>
              <w:t>άρθρο</w:t>
            </w:r>
            <w:r w:rsidR="00643282" w:rsidRPr="00F6055F">
              <w:rPr>
                <w:rFonts w:ascii="Arial" w:eastAsia="Arial Unicode MS" w:hAnsi="Arial" w:cs="Arial"/>
                <w:sz w:val="20"/>
                <w:szCs w:val="20"/>
                <w:lang w:eastAsia="el-GR"/>
              </w:rPr>
              <w:t>υ</w:t>
            </w:r>
            <w:r w:rsidR="00F34C02" w:rsidRPr="00F6055F">
              <w:rPr>
                <w:rFonts w:ascii="Arial" w:eastAsia="Arial Unicode MS" w:hAnsi="Arial" w:cs="Arial"/>
                <w:sz w:val="20"/>
                <w:szCs w:val="20"/>
                <w:lang w:eastAsia="el-GR"/>
              </w:rPr>
              <w:t xml:space="preserve"> 23 και </w:t>
            </w:r>
            <w:r w:rsidR="00F34C02" w:rsidRPr="00F6055F">
              <w:rPr>
                <w:rFonts w:ascii="Arial" w:hAnsi="Arial"/>
                <w:sz w:val="20"/>
              </w:rPr>
              <w:t xml:space="preserve">στο εδάφιο (1) του άρθρου </w:t>
            </w:r>
            <w:r w:rsidR="00F34C02" w:rsidRPr="00F6055F">
              <w:rPr>
                <w:rFonts w:ascii="Arial" w:eastAsia="Arial Unicode MS" w:hAnsi="Arial" w:cs="Arial"/>
                <w:sz w:val="20"/>
                <w:szCs w:val="20"/>
                <w:lang w:eastAsia="el-GR"/>
              </w:rPr>
              <w:t>24 του βασικού νόμου.</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E1462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4662" w:rsidRPr="00F6055F" w:rsidRDefault="005B4662" w:rsidP="005B0876">
            <w:pPr>
              <w:spacing w:after="0" w:line="240" w:lineRule="auto"/>
              <w:contextualSpacing/>
              <w:mirrorIndents/>
              <w:rPr>
                <w:rFonts w:ascii="Arial" w:eastAsia="Arial Unicode MS" w:hAnsi="Arial" w:cs="Arial"/>
                <w:sz w:val="20"/>
                <w:szCs w:val="20"/>
                <w:lang w:eastAsia="el-GR"/>
              </w:rPr>
            </w:pPr>
          </w:p>
        </w:tc>
        <w:tc>
          <w:tcPr>
            <w:tcW w:w="8079" w:type="dxa"/>
            <w:gridSpan w:val="6"/>
          </w:tcPr>
          <w:p w:rsidR="005B4662" w:rsidRPr="00F6055F" w:rsidRDefault="005B4662" w:rsidP="00B338C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5B0876" w:rsidRPr="00F6055F" w:rsidRDefault="005B0876" w:rsidP="005B0876">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4 </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5B0876" w:rsidRPr="00F6055F" w:rsidRDefault="00FE73C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4</w:t>
            </w:r>
            <w:r w:rsidR="005B0876" w:rsidRPr="00F6055F">
              <w:rPr>
                <w:rFonts w:ascii="Arial" w:eastAsia="Arial Unicode MS" w:hAnsi="Arial" w:cs="Arial"/>
                <w:sz w:val="20"/>
                <w:szCs w:val="20"/>
                <w:lang w:eastAsia="el-GR"/>
              </w:rPr>
              <w:t>. Το άρθρο 4 του βασικού νόμου αντικαθίσταται από το ακόλουθο νέο άρθρο 4:</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Σκοποί του ΣΕΚ.</w:t>
            </w:r>
          </w:p>
        </w:tc>
        <w:tc>
          <w:tcPr>
            <w:tcW w:w="6804" w:type="dxa"/>
            <w:gridSpan w:val="4"/>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4. Οι σκοποί του ΣΕΚ είναι οι ακόλουθοι:</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(α)</w:t>
            </w: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Η καταβολή μέσω του Ταμείου Εγγύησης Καταθέσεων σύμφωνα με το άρθρο 10 -</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8319CC">
            <w:pPr>
              <w:tabs>
                <w:tab w:val="left" w:pos="466"/>
              </w:tabs>
              <w:spacing w:after="0" w:line="240" w:lineRule="auto"/>
              <w:ind w:left="466" w:hanging="466"/>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tabs>
                <w:tab w:val="left" w:pos="466"/>
              </w:tabs>
              <w:spacing w:after="0" w:line="240" w:lineRule="auto"/>
              <w:ind w:left="466" w:hanging="466"/>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val="en-GB" w:eastAsia="el-GR"/>
              </w:rPr>
              <w:t>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t>αποζημίωσης στους καταθέτες ΑΠΙ, στην περίπτωση που αυτά δεν είναι σε θέση να αποπληρώσουν τις καταθέσεις τους·</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tabs>
                <w:tab w:val="left" w:pos="466"/>
              </w:tabs>
              <w:spacing w:after="0" w:line="240" w:lineRule="auto"/>
              <w:ind w:left="466" w:hanging="466"/>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w:t>
            </w:r>
            <w:proofErr w:type="spellEnd"/>
            <w:r w:rsidRPr="00F6055F">
              <w:rPr>
                <w:rFonts w:ascii="Arial" w:eastAsia="Arial Unicode MS" w:hAnsi="Arial" w:cs="Arial"/>
                <w:sz w:val="20"/>
                <w:szCs w:val="20"/>
                <w:lang w:eastAsia="el-GR"/>
              </w:rPr>
              <w:t xml:space="preserve">)  </w:t>
            </w:r>
            <w:r w:rsidR="00CC0EB2"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χρηματοδότησης της εφαρμογής μέτρων εξυγίανσης ·</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689"/>
        </w:trPr>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A54882">
            <w:pPr>
              <w:tabs>
                <w:tab w:val="left" w:pos="466"/>
              </w:tabs>
              <w:spacing w:after="0" w:line="240" w:lineRule="auto"/>
              <w:ind w:left="466" w:hanging="466"/>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r>
            <w:r w:rsidR="001B5A44" w:rsidRPr="00F6055F">
              <w:rPr>
                <w:rFonts w:ascii="Arial" w:eastAsia="Arial Unicode MS" w:hAnsi="Arial" w:cs="Arial"/>
                <w:sz w:val="20"/>
                <w:szCs w:val="20"/>
                <w:lang w:eastAsia="el-GR"/>
              </w:rPr>
              <w:t xml:space="preserve">χρηματοδότησης των εναλλακτικών μέτρων προκειμένου να εμποδίσει την εκκαθάριση ΑΠΙ κατά τα προβλεπόμενα στον </w:t>
            </w:r>
            <w:r w:rsidR="001B5A44" w:rsidRPr="00F6055F">
              <w:rPr>
                <w:rFonts w:ascii="Arial" w:hAnsi="Arial" w:cs="Arial"/>
                <w:sz w:val="20"/>
                <w:szCs w:val="20"/>
              </w:rPr>
              <w:t>περί Εκκαθάρισης Πιστωτικών Ιδρυμάτων Νόμο</w:t>
            </w:r>
            <w:r w:rsidR="001B5A44" w:rsidRPr="00F6055F">
              <w:rPr>
                <w:rFonts w:ascii="Arial" w:eastAsia="Arial Unicode MS" w:hAnsi="Arial" w:cs="Arial"/>
                <w:sz w:val="20"/>
                <w:szCs w:val="20"/>
                <w:lang w:eastAsia="el-GR"/>
              </w:rPr>
              <w:t>.</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D4003E">
            <w:pPr>
              <w:tabs>
                <w:tab w:val="left" w:pos="466"/>
              </w:tabs>
              <w:spacing w:after="0" w:line="240" w:lineRule="auto"/>
              <w:ind w:left="466" w:hanging="466"/>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iv</w:t>
            </w:r>
            <w:r w:rsidRPr="00F6055F">
              <w:rPr>
                <w:rFonts w:ascii="Arial" w:eastAsia="Arial Unicode MS" w:hAnsi="Arial" w:cs="Arial"/>
                <w:sz w:val="20"/>
                <w:szCs w:val="20"/>
                <w:lang w:eastAsia="el-GR"/>
              </w:rPr>
              <w:t xml:space="preserve">) </w:t>
            </w:r>
            <w:r w:rsidRPr="00F6055F">
              <w:rPr>
                <w:rFonts w:ascii="Arial" w:hAnsi="Arial" w:cs="Arial"/>
                <w:sz w:val="20"/>
                <w:szCs w:val="20"/>
              </w:rPr>
              <w:t xml:space="preserve"> </w:t>
            </w:r>
            <w:r w:rsidRPr="00F6055F">
              <w:rPr>
                <w:rFonts w:ascii="Arial" w:hAnsi="Arial" w:cs="Arial"/>
                <w:sz w:val="20"/>
                <w:szCs w:val="20"/>
              </w:rPr>
              <w:tab/>
            </w:r>
            <w:r w:rsidRPr="00F6055F">
              <w:rPr>
                <w:rFonts w:ascii="Arial" w:eastAsia="Arial Unicode MS" w:hAnsi="Arial" w:cs="Arial"/>
                <w:sz w:val="20"/>
                <w:szCs w:val="20"/>
                <w:lang w:eastAsia="el-GR"/>
              </w:rPr>
              <w:t>χρηματοδότησης</w:t>
            </w:r>
            <w:r w:rsidRPr="00F6055F">
              <w:rPr>
                <w:rFonts w:ascii="Arial" w:hAnsi="Arial" w:cs="Arial"/>
                <w:sz w:val="20"/>
                <w:szCs w:val="20"/>
              </w:rPr>
              <w:t xml:space="preserve"> μεταβίβασης περιουσιακών στοιχείων και υποχρεώσεων ΑΠΙ υπό εκκαθάριση, κατά τα προβλεπόμενα στο</w:t>
            </w:r>
            <w:r w:rsidR="00D4003E" w:rsidRPr="00F6055F">
              <w:rPr>
                <w:rFonts w:ascii="Arial" w:hAnsi="Arial" w:cs="Arial"/>
                <w:sz w:val="20"/>
                <w:szCs w:val="20"/>
              </w:rPr>
              <w:t>ν</w:t>
            </w:r>
            <w:r w:rsidRPr="00F6055F">
              <w:rPr>
                <w:rFonts w:ascii="Arial" w:hAnsi="Arial" w:cs="Arial"/>
                <w:sz w:val="20"/>
                <w:szCs w:val="20"/>
              </w:rPr>
              <w:t xml:space="preserve"> περί Εκκαθάρισης Πιστωτικών Ιδρυμάτων Νόμο ·</w:t>
            </w: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5B0876">
            <w:pPr>
              <w:spacing w:after="0" w:line="240" w:lineRule="auto"/>
              <w:contextualSpacing/>
              <w:mirrorIndents/>
              <w:rPr>
                <w:rFonts w:ascii="Arial" w:eastAsia="Arial Unicode MS" w:hAnsi="Arial" w:cs="Arial"/>
                <w:sz w:val="20"/>
                <w:szCs w:val="20"/>
                <w:lang w:eastAsia="el-GR"/>
              </w:rPr>
            </w:pPr>
          </w:p>
        </w:tc>
        <w:tc>
          <w:tcPr>
            <w:tcW w:w="127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w:t>
            </w:r>
          </w:p>
        </w:tc>
        <w:tc>
          <w:tcPr>
            <w:tcW w:w="6095" w:type="dxa"/>
            <w:gridSpan w:val="2"/>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Η χρηματοδότηση, μέσω του Ταμείου Εξυγίανσης, της εφαρμογής μέτρων εξυγίανσης όπως προβλέπεται στον παρόντα Νόμο και στον περί Εξυγίανσης Πιστωτικών Ιδρυμάτων και Επενδυτικών Εταιρειών Νόμο.</w:t>
            </w:r>
          </w:p>
        </w:tc>
      </w:tr>
      <w:tr w:rsidR="00F6055F" w:rsidRPr="00F6055F" w:rsidTr="00A54882">
        <w:trPr>
          <w:trHeight w:val="104"/>
        </w:trPr>
        <w:tc>
          <w:tcPr>
            <w:tcW w:w="1668" w:type="dxa"/>
          </w:tcPr>
          <w:p w:rsidR="005B0876" w:rsidRPr="00F6055F" w:rsidRDefault="005B0876" w:rsidP="00E074C0">
            <w:pPr>
              <w:spacing w:after="0" w:line="240" w:lineRule="auto"/>
              <w:contextualSpacing/>
              <w:mirrorIndents/>
              <w:jc w:val="both"/>
              <w:rPr>
                <w:rFonts w:ascii="Arial" w:eastAsia="Arial Unicode MS" w:hAnsi="Arial" w:cs="Arial"/>
                <w:sz w:val="20"/>
                <w:szCs w:val="20"/>
                <w:lang w:eastAsia="el-GR"/>
              </w:rPr>
            </w:pPr>
          </w:p>
        </w:tc>
        <w:tc>
          <w:tcPr>
            <w:tcW w:w="1275" w:type="dxa"/>
            <w:gridSpan w:val="2"/>
          </w:tcPr>
          <w:p w:rsidR="005B0876" w:rsidRPr="00F6055F" w:rsidRDefault="005B0876" w:rsidP="00E074C0">
            <w:pPr>
              <w:spacing w:after="0" w:line="240" w:lineRule="auto"/>
              <w:contextualSpacing/>
              <w:mirrorIndents/>
              <w:jc w:val="both"/>
              <w:rPr>
                <w:rFonts w:ascii="Arial" w:eastAsia="Arial Unicode MS" w:hAnsi="Arial" w:cs="Arial"/>
                <w:sz w:val="20"/>
                <w:szCs w:val="20"/>
                <w:lang w:eastAsia="el-GR"/>
              </w:rPr>
            </w:pPr>
          </w:p>
        </w:tc>
        <w:tc>
          <w:tcPr>
            <w:tcW w:w="709" w:type="dxa"/>
            <w:gridSpan w:val="2"/>
          </w:tcPr>
          <w:p w:rsidR="005B0876" w:rsidRPr="00F6055F" w:rsidRDefault="005B0876" w:rsidP="00E074C0">
            <w:pPr>
              <w:spacing w:after="0"/>
              <w:jc w:val="both"/>
              <w:rPr>
                <w:rFonts w:ascii="Arial" w:eastAsia="Arial Unicode MS" w:hAnsi="Arial" w:cs="Arial"/>
                <w:sz w:val="20"/>
                <w:szCs w:val="20"/>
                <w:lang w:eastAsia="el-GR"/>
              </w:rPr>
            </w:pPr>
          </w:p>
        </w:tc>
        <w:tc>
          <w:tcPr>
            <w:tcW w:w="6095" w:type="dxa"/>
            <w:gridSpan w:val="2"/>
          </w:tcPr>
          <w:p w:rsidR="005B0876" w:rsidRPr="00F6055F" w:rsidDel="00F549FC" w:rsidRDefault="005B0876" w:rsidP="00E074C0">
            <w:pPr>
              <w:spacing w:after="0"/>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Del="00641309"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Τροποποίηση του άρθρου 9 του βασικού νόμου.</w:t>
            </w:r>
          </w:p>
        </w:tc>
        <w:tc>
          <w:tcPr>
            <w:tcW w:w="8079" w:type="dxa"/>
            <w:gridSpan w:val="6"/>
          </w:tcPr>
          <w:p w:rsidR="005B0876" w:rsidRPr="00F6055F" w:rsidRDefault="00FE73C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5</w:t>
            </w:r>
            <w:r w:rsidR="005B0876" w:rsidRPr="00F6055F">
              <w:rPr>
                <w:rFonts w:ascii="Arial" w:eastAsia="Arial Unicode MS" w:hAnsi="Arial" w:cs="Arial"/>
                <w:sz w:val="20"/>
                <w:szCs w:val="20"/>
                <w:lang w:eastAsia="el-GR"/>
              </w:rPr>
              <w:t>. Το άρθρο 9 του βασικού νόμου τροποποιείται ως ακολούθως:-</w:t>
            </w:r>
          </w:p>
          <w:p w:rsidR="005B0876" w:rsidRPr="00F6055F" w:rsidDel="00641309"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4F2A46" w:rsidRPr="00F6055F" w:rsidRDefault="005B0876" w:rsidP="00625232">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001A6FC9" w:rsidRPr="00F6055F">
              <w:rPr>
                <w:rFonts w:ascii="Arial" w:eastAsia="Arial Unicode MS" w:hAnsi="Arial" w:cs="Arial"/>
                <w:sz w:val="20"/>
                <w:szCs w:val="20"/>
                <w:lang w:eastAsia="el-GR"/>
              </w:rPr>
              <w:t>α</w:t>
            </w:r>
            <w:r w:rsidRPr="00F6055F">
              <w:rPr>
                <w:rFonts w:ascii="Arial" w:eastAsia="Arial Unicode MS" w:hAnsi="Arial" w:cs="Arial"/>
                <w:sz w:val="20"/>
                <w:szCs w:val="20"/>
                <w:lang w:eastAsia="el-GR"/>
              </w:rPr>
              <w:t>) Με την αντικατάσταση το</w:t>
            </w:r>
            <w:r w:rsidR="007819F5" w:rsidRPr="00F6055F">
              <w:rPr>
                <w:rFonts w:ascii="Arial" w:eastAsia="Arial Unicode MS" w:hAnsi="Arial" w:cs="Arial"/>
                <w:sz w:val="20"/>
                <w:szCs w:val="20"/>
                <w:lang w:eastAsia="el-GR"/>
              </w:rPr>
              <w:t>υ</w:t>
            </w:r>
            <w:r w:rsidRPr="00F6055F">
              <w:rPr>
                <w:rFonts w:ascii="Arial" w:eastAsia="Arial Unicode MS" w:hAnsi="Arial" w:cs="Arial"/>
                <w:sz w:val="20"/>
                <w:szCs w:val="20"/>
                <w:lang w:eastAsia="el-GR"/>
              </w:rPr>
              <w:t xml:space="preserve"> εδ</w:t>
            </w:r>
            <w:r w:rsidR="007819F5" w:rsidRPr="00F6055F">
              <w:rPr>
                <w:rFonts w:ascii="Arial" w:eastAsia="Arial Unicode MS" w:hAnsi="Arial" w:cs="Arial"/>
                <w:sz w:val="20"/>
                <w:szCs w:val="20"/>
                <w:lang w:eastAsia="el-GR"/>
              </w:rPr>
              <w:t>αφίου (</w:t>
            </w:r>
            <w:r w:rsidRPr="00F6055F">
              <w:rPr>
                <w:rFonts w:ascii="Arial" w:eastAsia="Arial Unicode MS" w:hAnsi="Arial" w:cs="Arial"/>
                <w:sz w:val="20"/>
                <w:szCs w:val="20"/>
                <w:lang w:eastAsia="el-GR"/>
              </w:rPr>
              <w:t xml:space="preserve">3) </w:t>
            </w:r>
            <w:r w:rsidR="007819F5" w:rsidRPr="00F6055F">
              <w:rPr>
                <w:rFonts w:ascii="Arial" w:eastAsia="Arial Unicode MS" w:hAnsi="Arial" w:cs="Arial"/>
                <w:sz w:val="20"/>
                <w:szCs w:val="20"/>
                <w:lang w:eastAsia="el-GR"/>
              </w:rPr>
              <w:t>με το ακόλουθο νέο εδάφιο</w:t>
            </w:r>
            <w:r w:rsidR="004F2A46" w:rsidRPr="00F6055F">
              <w:rPr>
                <w:rFonts w:ascii="Arial" w:eastAsia="Arial Unicode MS" w:hAnsi="Arial" w:cs="Arial"/>
                <w:sz w:val="20"/>
                <w:szCs w:val="20"/>
                <w:lang w:eastAsia="el-GR"/>
              </w:rPr>
              <w:t>:</w:t>
            </w:r>
          </w:p>
          <w:p w:rsidR="005B0876" w:rsidRPr="00F6055F" w:rsidRDefault="007819F5" w:rsidP="00625232">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«Κάθε ΑΠΙ καταβάλλει κατ’ έτος εισφορά στο ΣΕΚ, το ύψος της οποίας καθορίζεται </w:t>
            </w:r>
            <w:r w:rsidR="00625232" w:rsidRPr="00F6055F">
              <w:rPr>
                <w:rFonts w:ascii="Arial" w:eastAsia="Arial Unicode MS" w:hAnsi="Arial" w:cs="Arial"/>
                <w:sz w:val="20"/>
                <w:szCs w:val="20"/>
                <w:lang w:eastAsia="el-GR"/>
              </w:rPr>
              <w:t xml:space="preserve">στους </w:t>
            </w:r>
            <w:r w:rsidRPr="00F6055F">
              <w:rPr>
                <w:rFonts w:ascii="Arial" w:eastAsia="Arial Unicode MS" w:hAnsi="Arial" w:cs="Arial"/>
                <w:sz w:val="20"/>
                <w:szCs w:val="20"/>
                <w:lang w:eastAsia="el-GR"/>
              </w:rPr>
              <w:t xml:space="preserve">κανονισμούς». </w:t>
            </w:r>
          </w:p>
        </w:tc>
      </w:tr>
      <w:tr w:rsidR="00F6055F" w:rsidRPr="00F6055F" w:rsidDel="00641309"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001A6FC9" w:rsidRPr="00F6055F">
              <w:rPr>
                <w:rFonts w:ascii="Arial" w:eastAsia="Arial Unicode MS" w:hAnsi="Arial" w:cs="Arial"/>
                <w:sz w:val="20"/>
                <w:szCs w:val="20"/>
                <w:lang w:eastAsia="el-GR"/>
              </w:rPr>
              <w:t>β</w:t>
            </w:r>
            <w:r w:rsidRPr="00F6055F">
              <w:rPr>
                <w:rFonts w:ascii="Arial" w:eastAsia="Arial Unicode MS" w:hAnsi="Arial" w:cs="Arial"/>
                <w:sz w:val="20"/>
                <w:szCs w:val="20"/>
                <w:lang w:eastAsia="el-GR"/>
              </w:rPr>
              <w:t>) Με την αντικατάσταση του εδαφίου (10) με το ακόλουθο νέο εδάφιο (10)-</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A71C23">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«10</w:t>
            </w:r>
            <w:r w:rsidR="00F95CB5"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Η Επιτροπή δύναται να επιβά</w:t>
            </w:r>
            <w:r w:rsidR="00A71C23" w:rsidRPr="00F6055F">
              <w:rPr>
                <w:rFonts w:ascii="Arial" w:eastAsia="Arial Unicode MS" w:hAnsi="Arial" w:cs="Arial"/>
                <w:sz w:val="20"/>
                <w:szCs w:val="20"/>
                <w:lang w:eastAsia="el-GR"/>
              </w:rPr>
              <w:t>λει στα ΑΠΙ έκτακτες εκ των υ</w:t>
            </w:r>
            <w:r w:rsidRPr="00F6055F">
              <w:rPr>
                <w:rFonts w:ascii="Arial" w:eastAsia="Arial Unicode MS" w:hAnsi="Arial" w:cs="Arial"/>
                <w:sz w:val="20"/>
                <w:szCs w:val="20"/>
                <w:lang w:eastAsia="el-GR"/>
              </w:rPr>
              <w:t>στ</w:t>
            </w:r>
            <w:r w:rsidR="00A71C23" w:rsidRPr="00F6055F">
              <w:rPr>
                <w:rFonts w:ascii="Arial" w:eastAsia="Arial Unicode MS" w:hAnsi="Arial" w:cs="Arial"/>
                <w:sz w:val="20"/>
                <w:szCs w:val="20"/>
                <w:lang w:eastAsia="el-GR"/>
              </w:rPr>
              <w:t>έ</w:t>
            </w:r>
            <w:r w:rsidRPr="00F6055F">
              <w:rPr>
                <w:rFonts w:ascii="Arial" w:eastAsia="Arial Unicode MS" w:hAnsi="Arial" w:cs="Arial"/>
                <w:sz w:val="20"/>
                <w:szCs w:val="20"/>
                <w:lang w:eastAsia="el-GR"/>
              </w:rPr>
              <w:t>ρων εισφορές στις περιπτώσεις που τα διαθέσιμα χρηματοδοτικά μέσα του</w:t>
            </w:r>
            <w:r w:rsidR="00671CDE" w:rsidRPr="00F6055F">
              <w:rPr>
                <w:rFonts w:ascii="Arial" w:eastAsia="Arial Unicode MS" w:hAnsi="Arial" w:cs="Arial"/>
                <w:sz w:val="20"/>
                <w:szCs w:val="20"/>
                <w:lang w:eastAsia="el-GR"/>
              </w:rPr>
              <w:t xml:space="preserve"> </w:t>
            </w:r>
            <w:r w:rsidR="00671CDE" w:rsidRPr="00F6055F">
              <w:rPr>
                <w:rFonts w:ascii="Arial" w:hAnsi="Arial" w:cs="Arial"/>
                <w:sz w:val="20"/>
                <w:szCs w:val="20"/>
              </w:rPr>
              <w:t>Ταμείου Εγγύησης Καταθέσεων</w:t>
            </w:r>
            <w:r w:rsidR="00671CDE"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 xml:space="preserve"> δεν επαρκούν για </w:t>
            </w:r>
            <w:r w:rsidR="00C62796" w:rsidRPr="00F6055F">
              <w:rPr>
                <w:rFonts w:ascii="Arial" w:eastAsia="Arial Unicode MS" w:hAnsi="Arial" w:cs="Arial"/>
                <w:sz w:val="20"/>
                <w:szCs w:val="20"/>
                <w:lang w:eastAsia="el-GR"/>
              </w:rPr>
              <w:t>τις χρήσεις που καθορίζονται στο άρθρο 10 του παρόντος νόμου</w:t>
            </w:r>
            <w:r w:rsidRPr="00F6055F">
              <w:rPr>
                <w:rFonts w:ascii="Arial" w:eastAsia="Arial Unicode MS" w:hAnsi="Arial" w:cs="Arial"/>
                <w:sz w:val="20"/>
                <w:szCs w:val="20"/>
                <w:lang w:eastAsia="el-GR"/>
              </w:rPr>
              <w:t>, όπως καθορίζεται στου</w:t>
            </w:r>
            <w:r w:rsidR="00D30603"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κανονισμούς</w:t>
            </w:r>
            <w:r w:rsidR="0067059F" w:rsidRPr="00F6055F">
              <w:rPr>
                <w:rFonts w:ascii="Arial" w:hAnsi="Arial" w:cs="Arial"/>
                <w:sz w:val="20"/>
                <w:szCs w:val="20"/>
              </w:rPr>
              <w:t>.»</w:t>
            </w:r>
          </w:p>
        </w:tc>
      </w:tr>
      <w:tr w:rsidR="00F6055F" w:rsidRPr="00F6055F" w:rsidTr="00A54882">
        <w:tc>
          <w:tcPr>
            <w:tcW w:w="1668" w:type="dxa"/>
          </w:tcPr>
          <w:p w:rsidR="00B870D2" w:rsidRPr="00F6055F" w:rsidRDefault="00B870D2" w:rsidP="005B0876">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5B0876" w:rsidRPr="00F6055F" w:rsidRDefault="005B0876" w:rsidP="003F373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5B0876" w:rsidRPr="00F6055F" w:rsidRDefault="005B0876" w:rsidP="003F373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w:t>
            </w:r>
          </w:p>
          <w:p w:rsidR="005B0876" w:rsidRPr="00F6055F" w:rsidRDefault="005B0876" w:rsidP="00A54882">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βασικού νόμου με την αντικατάσταση του άρθρου 10.</w:t>
            </w:r>
          </w:p>
        </w:tc>
        <w:tc>
          <w:tcPr>
            <w:tcW w:w="8079" w:type="dxa"/>
            <w:gridSpan w:val="6"/>
          </w:tcPr>
          <w:p w:rsidR="005B0876" w:rsidRPr="00F6055F" w:rsidRDefault="00FE73C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6</w:t>
            </w:r>
            <w:r w:rsidR="005B0876" w:rsidRPr="00F6055F">
              <w:rPr>
                <w:rFonts w:ascii="Arial" w:eastAsia="Arial Unicode MS" w:hAnsi="Arial" w:cs="Arial"/>
                <w:sz w:val="20"/>
                <w:szCs w:val="20"/>
                <w:lang w:eastAsia="el-GR"/>
              </w:rPr>
              <w:t>. Ο βασικός νόμος τροποποιείται με την αντικατάσταση του άρθρου 10 από το ακόλουθο νέο άρθρο:-</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Del="00641309"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5B0876" w:rsidRPr="00F6055F" w:rsidDel="00641309" w:rsidRDefault="005B0876" w:rsidP="00B630E7">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Χρήση </w:t>
            </w:r>
            <w:r w:rsidR="00B630E7" w:rsidRPr="00F6055F">
              <w:rPr>
                <w:rFonts w:ascii="Arial" w:eastAsia="Arial Unicode MS" w:hAnsi="Arial" w:cs="Arial"/>
                <w:sz w:val="20"/>
                <w:szCs w:val="20"/>
                <w:lang w:eastAsia="el-GR"/>
              </w:rPr>
              <w:t xml:space="preserve"> διαθέσιμων χρηματοδοτικών μέσων </w:t>
            </w:r>
            <w:r w:rsidRPr="00F6055F">
              <w:rPr>
                <w:rFonts w:ascii="Arial" w:eastAsia="Arial Unicode MS" w:hAnsi="Arial" w:cs="Arial"/>
                <w:sz w:val="20"/>
                <w:szCs w:val="20"/>
                <w:lang w:eastAsia="el-GR"/>
              </w:rPr>
              <w:t>του Ταμείου Εγγύησης Καταθέσεων.</w:t>
            </w:r>
          </w:p>
        </w:tc>
        <w:tc>
          <w:tcPr>
            <w:tcW w:w="6237" w:type="dxa"/>
            <w:gridSpan w:val="3"/>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10. (1) Τα </w:t>
            </w:r>
            <w:r w:rsidR="00823EBB" w:rsidRPr="00F6055F">
              <w:rPr>
                <w:rFonts w:ascii="Arial" w:eastAsia="Arial Unicode MS" w:hAnsi="Arial" w:cs="Arial"/>
                <w:sz w:val="20"/>
                <w:szCs w:val="20"/>
                <w:lang w:eastAsia="el-GR"/>
              </w:rPr>
              <w:t xml:space="preserve">διαθέσιμα </w:t>
            </w:r>
            <w:r w:rsidR="000B1C00" w:rsidRPr="00F6055F">
              <w:rPr>
                <w:rFonts w:ascii="Arial" w:eastAsia="Arial Unicode MS" w:hAnsi="Arial" w:cs="Arial"/>
                <w:sz w:val="20"/>
                <w:szCs w:val="20"/>
                <w:lang w:eastAsia="el-GR"/>
              </w:rPr>
              <w:t xml:space="preserve">χρηματοδοτικά μέσα </w:t>
            </w:r>
            <w:r w:rsidRPr="00F6055F">
              <w:rPr>
                <w:rFonts w:ascii="Arial" w:eastAsia="Arial Unicode MS" w:hAnsi="Arial" w:cs="Arial"/>
                <w:sz w:val="20"/>
                <w:szCs w:val="20"/>
                <w:lang w:eastAsia="el-GR"/>
              </w:rPr>
              <w:t>του Ταμείου Εγγύησης Καταθέσεων χρησιμοποιούνται πρωτίστως για την καταβολή αποζημίωσης στους καταθέτες ΑΠΙ</w:t>
            </w:r>
            <w:r w:rsidR="00644041"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εφόσον κατάθεση καταστεί μη διαθέσιμη</w:t>
            </w:r>
            <w:r w:rsidR="0032222C" w:rsidRPr="00F6055F">
              <w:rPr>
                <w:rFonts w:ascii="Arial" w:hAnsi="Arial" w:cs="Arial"/>
                <w:sz w:val="20"/>
                <w:szCs w:val="20"/>
              </w:rPr>
              <w:t>·</w:t>
            </w:r>
          </w:p>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p w:rsidR="000B1C00" w:rsidRPr="00F6055F" w:rsidRDefault="005B0876" w:rsidP="005B087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w:t>
            </w:r>
          </w:p>
          <w:p w:rsidR="000B1C00" w:rsidRPr="00F6055F" w:rsidDel="00641309" w:rsidRDefault="000B1C00"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5B0876" w:rsidRPr="00F6055F" w:rsidDel="00641309"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5B0876" w:rsidRPr="00F6055F" w:rsidDel="00641309" w:rsidRDefault="005B0876" w:rsidP="005B0876">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5B0876" w:rsidRPr="00F6055F" w:rsidRDefault="005B0876" w:rsidP="005B0876">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CC0EB2">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(2)(α) Τα διαθέσιμα χρηματοδοτικά μέσα του Ταμείου Εγγύησης Καταθέσεων χρησιμοποιούνται για τη χρηματοδότηση μέτρων εξυγίανσης σύμφωνα με το άρθρο 105 των περί Εξυγίανσης Πιστωτικών Ιδρυμάτων και Επενδυτικών Εταιρειών Νόμων.</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Η αρχή εξυγίανσης ορίζει, κατόπιν διαβούλευσης με το ΣΕΚ, το ποσό για το οποίο ευθύνεται το ΣΕΚ κατά τα προβλεπόμενα στην παράγραφο (α)</w:t>
            </w:r>
            <w:r w:rsidR="004E654E" w:rsidRPr="00F6055F">
              <w:rPr>
                <w:rFonts w:ascii="Arial" w:eastAsia="Arial Unicode MS" w:hAnsi="Arial" w:cs="Arial"/>
                <w:sz w:val="20"/>
                <w:szCs w:val="20"/>
                <w:lang w:eastAsia="el-GR"/>
              </w:rPr>
              <w:t xml:space="preserve">, </w:t>
            </w:r>
            <w:r w:rsidR="004E654E" w:rsidRPr="00F6055F">
              <w:t xml:space="preserve"> </w:t>
            </w:r>
            <w:r w:rsidR="004E654E" w:rsidRPr="00F6055F">
              <w:rPr>
                <w:rFonts w:ascii="Arial" w:eastAsia="Arial Unicode MS" w:hAnsi="Arial" w:cs="Arial"/>
                <w:sz w:val="20"/>
                <w:szCs w:val="20"/>
                <w:lang w:eastAsia="el-GR"/>
              </w:rPr>
              <w:t>το οποίο δεν υπερβαίνει ποσό ίσο με το πενήντα τοις εκατό (50%) του επιπέδου</w:t>
            </w:r>
            <w:r w:rsidR="00671CDE" w:rsidRPr="00F6055F">
              <w:rPr>
                <w:rFonts w:ascii="Arial" w:eastAsia="Arial Unicode MS" w:hAnsi="Arial" w:cs="Arial"/>
                <w:sz w:val="20"/>
                <w:szCs w:val="20"/>
                <w:lang w:eastAsia="el-GR"/>
              </w:rPr>
              <w:t>-</w:t>
            </w:r>
            <w:r w:rsidR="004E654E" w:rsidRPr="00F6055F">
              <w:rPr>
                <w:rFonts w:ascii="Arial" w:eastAsia="Arial Unicode MS" w:hAnsi="Arial" w:cs="Arial"/>
                <w:sz w:val="20"/>
                <w:szCs w:val="20"/>
                <w:lang w:eastAsia="el-GR"/>
              </w:rPr>
              <w:t>στόχου</w:t>
            </w:r>
            <w:r w:rsidRPr="00F6055F">
              <w:rPr>
                <w:rFonts w:ascii="Arial" w:eastAsia="Arial Unicode MS" w:hAnsi="Arial" w:cs="Arial"/>
                <w:sz w:val="20"/>
                <w:szCs w:val="20"/>
                <w:lang w:eastAsia="el-GR"/>
              </w:rPr>
              <w:t>.</w:t>
            </w:r>
          </w:p>
        </w:tc>
      </w:tr>
      <w:tr w:rsidR="00F6055F" w:rsidRPr="00F6055F" w:rsidDel="00641309" w:rsidTr="00A54882">
        <w:tc>
          <w:tcPr>
            <w:tcW w:w="1668" w:type="dxa"/>
          </w:tcPr>
          <w:p w:rsidR="004E654E" w:rsidRPr="00F6055F" w:rsidDel="00641309" w:rsidRDefault="004E654E"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4E654E" w:rsidRPr="00F6055F" w:rsidDel="00641309" w:rsidRDefault="004E654E"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4E654E" w:rsidRPr="00F6055F" w:rsidRDefault="004E654E"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517D90">
        <w:tc>
          <w:tcPr>
            <w:tcW w:w="1668" w:type="dxa"/>
          </w:tcPr>
          <w:p w:rsidR="004E654E" w:rsidRPr="00F6055F" w:rsidDel="00641309" w:rsidRDefault="004E654E"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4E654E" w:rsidRPr="00F6055F" w:rsidDel="00641309" w:rsidRDefault="004E654E"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4E654E" w:rsidRPr="00F6055F" w:rsidRDefault="004E654E"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(γ) </w:t>
            </w:r>
            <w:r w:rsidRPr="00F6055F">
              <w:t xml:space="preserve"> </w:t>
            </w:r>
            <w:r w:rsidRPr="00F6055F">
              <w:rPr>
                <w:rFonts w:ascii="Arial" w:eastAsia="Arial Unicode MS" w:hAnsi="Arial" w:cs="Arial"/>
                <w:sz w:val="20"/>
                <w:szCs w:val="20"/>
                <w:lang w:eastAsia="el-GR"/>
              </w:rPr>
              <w:t>Υπό οποιεσδήποτε συνθήκες, το ποσό που χρησιμοποιείται από το Ταμείο Εγγύησης Καταθέσεων για τη χρηματοδότηση μέτρων εξυγίανσης, δεν υπερβαίνει το ύψος των ζημιών που θα χρειαζόταν να υποστεί εάν το ίδρυμα είχε εκκαθαριστεί υπό κανονικές διαδικασίες αφερεγγυότητας.</w:t>
            </w:r>
          </w:p>
        </w:tc>
      </w:tr>
      <w:tr w:rsidR="00F6055F" w:rsidRPr="00F6055F" w:rsidDel="00641309" w:rsidTr="00517D90">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Del="00641309" w:rsidRDefault="002A576C" w:rsidP="001A2E39">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(3)(α) Τα διαθέσιμα χρηματοδοτικά μέσα του Ταμείου Εγγύησης Καταθέσεων δύνανται να χρησιμοποιηθούν, μόνο κατόπιν εισήγησης της </w:t>
            </w:r>
            <w:r w:rsidR="001A2E39" w:rsidRPr="00F6055F">
              <w:rPr>
                <w:rFonts w:ascii="Arial" w:eastAsia="Arial Unicode MS" w:hAnsi="Arial" w:cs="Arial"/>
                <w:sz w:val="20"/>
                <w:szCs w:val="20"/>
                <w:lang w:eastAsia="el-GR"/>
              </w:rPr>
              <w:t>Κεντρικής Τράπεζας</w:t>
            </w:r>
            <w:r w:rsidRPr="00F6055F">
              <w:rPr>
                <w:rFonts w:ascii="Arial" w:eastAsia="Arial Unicode MS" w:hAnsi="Arial" w:cs="Arial"/>
                <w:sz w:val="20"/>
                <w:szCs w:val="20"/>
                <w:lang w:eastAsia="el-GR"/>
              </w:rPr>
              <w:t xml:space="preserve">, για τη χρηματοδότηση εναλλακτικών μέτρων </w:t>
            </w:r>
            <w:r w:rsidR="00536AC2" w:rsidRPr="00F6055F">
              <w:rPr>
                <w:rFonts w:ascii="Arial" w:eastAsia="Arial Unicode MS" w:hAnsi="Arial" w:cs="Arial"/>
                <w:sz w:val="20"/>
                <w:szCs w:val="20"/>
                <w:lang w:eastAsia="el-GR"/>
              </w:rPr>
              <w:t>προκειμένου να εμποδ</w:t>
            </w:r>
            <w:r w:rsidR="001A2E39" w:rsidRPr="00F6055F">
              <w:rPr>
                <w:rFonts w:ascii="Arial" w:eastAsia="Arial Unicode MS" w:hAnsi="Arial" w:cs="Arial"/>
                <w:sz w:val="20"/>
                <w:szCs w:val="20"/>
                <w:lang w:eastAsia="el-GR"/>
              </w:rPr>
              <w:t>ιστεί η</w:t>
            </w:r>
            <w:r w:rsidR="00536AC2" w:rsidRPr="00F6055F">
              <w:rPr>
                <w:rFonts w:ascii="Arial" w:eastAsia="Arial Unicode MS" w:hAnsi="Arial" w:cs="Arial"/>
                <w:sz w:val="20"/>
                <w:szCs w:val="20"/>
                <w:lang w:eastAsia="el-GR"/>
              </w:rPr>
              <w:t xml:space="preserve"> εκκαθάριση ΑΠΙ κατά τα προβλεπόμενα στον </w:t>
            </w:r>
            <w:r w:rsidR="00536AC2" w:rsidRPr="00F6055F">
              <w:rPr>
                <w:rFonts w:ascii="Arial" w:hAnsi="Arial" w:cs="Arial"/>
                <w:sz w:val="20"/>
                <w:szCs w:val="20"/>
              </w:rPr>
              <w:t>περί Εκκαθάρισης Πιστωτικών Ιδρυμάτων Νόμο</w:t>
            </w:r>
            <w:r w:rsidRPr="00F6055F">
              <w:rPr>
                <w:rFonts w:ascii="Arial" w:eastAsia="Arial Unicode MS" w:hAnsi="Arial" w:cs="Arial"/>
                <w:sz w:val="20"/>
                <w:szCs w:val="20"/>
                <w:lang w:eastAsia="el-GR"/>
              </w:rPr>
              <w:t xml:space="preserve"> εφόσον πληρούνται οι ακόλουθ</w:t>
            </w:r>
            <w:r w:rsidR="001A2E39" w:rsidRPr="00F6055F">
              <w:rPr>
                <w:rFonts w:ascii="Arial" w:eastAsia="Arial Unicode MS" w:hAnsi="Arial" w:cs="Arial"/>
                <w:sz w:val="20"/>
                <w:szCs w:val="20"/>
                <w:lang w:eastAsia="el-GR"/>
              </w:rPr>
              <w:t>ες προϋποθέσεις</w:t>
            </w:r>
            <w:r w:rsidRPr="00F6055F">
              <w:rPr>
                <w:rFonts w:ascii="Arial" w:eastAsia="Arial Unicode MS" w:hAnsi="Arial" w:cs="Arial"/>
                <w:sz w:val="20"/>
                <w:szCs w:val="20"/>
                <w:lang w:eastAsia="el-GR"/>
              </w:rPr>
              <w:t>:</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F80C46">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(i)   </w:t>
            </w:r>
            <w:r w:rsidRPr="00F6055F">
              <w:rPr>
                <w:rFonts w:ascii="Arial" w:eastAsia="Arial Unicode MS" w:hAnsi="Arial" w:cs="Arial"/>
                <w:sz w:val="20"/>
                <w:szCs w:val="20"/>
                <w:lang w:eastAsia="el-GR"/>
              </w:rPr>
              <w:tab/>
              <w:t>η αρχή εξυγίανσης δεν έχει προβεί σε δράση εξυγίανσης δυνάμει του περί Εξυγίανσης Πιστωτικών Ιδρυμάτων και Επενδυτικών Εταιρειών Νόμου·</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t>το ΣΕΚ εφαρμόζει κατάλληλα συστήματα και διαδικασίες για την επιλογή και την υλοποίηση</w:t>
            </w:r>
            <w:r w:rsidR="001A2E39" w:rsidRPr="00F6055F">
              <w:rPr>
                <w:rFonts w:ascii="Arial" w:eastAsia="Arial Unicode MS" w:hAnsi="Arial" w:cs="Arial"/>
                <w:sz w:val="20"/>
                <w:szCs w:val="20"/>
                <w:lang w:eastAsia="el-GR"/>
              </w:rPr>
              <w:t xml:space="preserve"> των</w:t>
            </w:r>
            <w:r w:rsidRPr="00F6055F">
              <w:rPr>
                <w:rFonts w:ascii="Arial" w:eastAsia="Arial Unicode MS" w:hAnsi="Arial" w:cs="Arial"/>
                <w:sz w:val="20"/>
                <w:szCs w:val="20"/>
                <w:lang w:eastAsia="el-GR"/>
              </w:rPr>
              <w:t xml:space="preserve"> εναλλακτικών μέτρων και για την παρακολούθηση σχετικών κινδύνων·</w:t>
            </w:r>
          </w:p>
        </w:tc>
      </w:tr>
      <w:tr w:rsidR="00F6055F" w:rsidRPr="00F6055F" w:rsidDel="00641309" w:rsidTr="00517D90">
        <w:tc>
          <w:tcPr>
            <w:tcW w:w="1668" w:type="dxa"/>
          </w:tcPr>
          <w:p w:rsidR="003F373C" w:rsidRPr="00F6055F" w:rsidDel="00641309" w:rsidRDefault="003F373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3F373C" w:rsidRPr="00F6055F" w:rsidDel="00641309" w:rsidRDefault="003F373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3F373C" w:rsidRPr="00F6055F" w:rsidRDefault="003F373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3F373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iii</w:t>
            </w:r>
            <w:proofErr w:type="spellEnd"/>
            <w:r w:rsidRPr="00F6055F">
              <w:rPr>
                <w:rFonts w:ascii="Arial" w:eastAsia="Arial Unicode MS" w:hAnsi="Arial" w:cs="Arial"/>
                <w:sz w:val="20"/>
                <w:szCs w:val="20"/>
                <w:lang w:eastAsia="el-GR"/>
              </w:rPr>
              <w:t xml:space="preserve">) </w:t>
            </w:r>
            <w:r w:rsidR="00315289" w:rsidRPr="00F6055F">
              <w:rPr>
                <w:rFonts w:ascii="Arial" w:eastAsia="Arial Unicode MS" w:hAnsi="Arial" w:cs="Arial"/>
                <w:sz w:val="20"/>
                <w:szCs w:val="20"/>
                <w:lang w:eastAsia="el-GR"/>
              </w:rPr>
              <w:t xml:space="preserve"> σύμφωνα με αξιολόγηση της Κεντρικής Τράπεζας </w:t>
            </w:r>
            <w:r w:rsidRPr="00F6055F">
              <w:rPr>
                <w:rFonts w:ascii="Arial" w:eastAsia="Arial Unicode MS" w:hAnsi="Arial" w:cs="Arial"/>
                <w:sz w:val="20"/>
                <w:szCs w:val="20"/>
                <w:lang w:eastAsia="el-GR"/>
              </w:rPr>
              <w:t xml:space="preserve">το κόστος των μέτρων δεν υπερβαίνει το κόστος εκπλήρωσης του </w:t>
            </w:r>
            <w:r w:rsidR="00315289" w:rsidRPr="00F6055F">
              <w:rPr>
                <w:rFonts w:ascii="Arial" w:eastAsia="Arial Unicode MS" w:hAnsi="Arial" w:cs="Arial"/>
                <w:sz w:val="20"/>
                <w:szCs w:val="20"/>
                <w:lang w:eastAsia="el-GR"/>
              </w:rPr>
              <w:t xml:space="preserve"> σκοπού του ΣΕΚ </w:t>
            </w:r>
            <w:r w:rsidR="00E35C98" w:rsidRPr="00F6055F">
              <w:rPr>
                <w:rFonts w:ascii="Arial" w:eastAsia="Arial Unicode MS" w:hAnsi="Arial" w:cs="Arial"/>
                <w:sz w:val="20"/>
                <w:szCs w:val="20"/>
                <w:lang w:eastAsia="el-GR"/>
              </w:rPr>
              <w:t>όπως προβλέπε</w:t>
            </w:r>
            <w:r w:rsidR="000C24AE" w:rsidRPr="00F6055F">
              <w:rPr>
                <w:rFonts w:ascii="Arial" w:eastAsia="Arial Unicode MS" w:hAnsi="Arial" w:cs="Arial"/>
                <w:sz w:val="20"/>
                <w:szCs w:val="20"/>
                <w:lang w:eastAsia="el-GR"/>
              </w:rPr>
              <w:t>ται</w:t>
            </w:r>
            <w:r w:rsidR="00E35C98" w:rsidRPr="00F6055F">
              <w:rPr>
                <w:rFonts w:ascii="Arial" w:eastAsia="Arial Unicode MS" w:hAnsi="Arial" w:cs="Arial"/>
                <w:sz w:val="20"/>
                <w:szCs w:val="20"/>
                <w:lang w:eastAsia="el-GR"/>
              </w:rPr>
              <w:t xml:space="preserve"> </w:t>
            </w:r>
            <w:r w:rsidR="000C24AE" w:rsidRPr="00F6055F">
              <w:rPr>
                <w:rFonts w:ascii="Arial" w:eastAsia="Arial Unicode MS" w:hAnsi="Arial" w:cs="Arial"/>
                <w:sz w:val="20"/>
                <w:szCs w:val="20"/>
                <w:lang w:eastAsia="el-GR"/>
              </w:rPr>
              <w:t>σ</w:t>
            </w:r>
            <w:r w:rsidR="00E35C98" w:rsidRPr="00F6055F">
              <w:rPr>
                <w:rFonts w:ascii="Arial" w:eastAsia="Arial Unicode MS" w:hAnsi="Arial" w:cs="Arial"/>
                <w:sz w:val="20"/>
                <w:szCs w:val="20"/>
                <w:lang w:eastAsia="el-GR"/>
              </w:rPr>
              <w:t>το</w:t>
            </w:r>
            <w:r w:rsidR="00315289" w:rsidRPr="00F6055F">
              <w:rPr>
                <w:rFonts w:ascii="Arial" w:eastAsia="Arial Unicode MS" w:hAnsi="Arial" w:cs="Arial"/>
                <w:sz w:val="20"/>
                <w:szCs w:val="20"/>
                <w:lang w:eastAsia="el-GR"/>
              </w:rPr>
              <w:t xml:space="preserve"> άρθρο 4(α)(</w:t>
            </w:r>
            <w:proofErr w:type="spellStart"/>
            <w:r w:rsidR="00315289" w:rsidRPr="00F6055F">
              <w:rPr>
                <w:rFonts w:ascii="Arial" w:eastAsia="Arial Unicode MS" w:hAnsi="Arial" w:cs="Arial"/>
                <w:sz w:val="20"/>
                <w:szCs w:val="20"/>
                <w:lang w:val="en-GB" w:eastAsia="el-GR"/>
              </w:rPr>
              <w:t>i</w:t>
            </w:r>
            <w:proofErr w:type="spellEnd"/>
            <w:r w:rsidR="00315289" w:rsidRPr="00F6055F">
              <w:rPr>
                <w:rFonts w:ascii="Arial" w:eastAsia="Arial Unicode MS" w:hAnsi="Arial" w:cs="Arial"/>
                <w:sz w:val="20"/>
                <w:szCs w:val="20"/>
                <w:lang w:eastAsia="el-GR"/>
              </w:rPr>
              <w:t xml:space="preserve">) του  παρόντος </w:t>
            </w:r>
            <w:r w:rsidR="001A2E39" w:rsidRPr="00F6055F">
              <w:rPr>
                <w:rFonts w:ascii="Arial" w:eastAsia="Arial Unicode MS" w:hAnsi="Arial" w:cs="Arial"/>
                <w:sz w:val="20"/>
                <w:szCs w:val="20"/>
                <w:lang w:eastAsia="el-GR"/>
              </w:rPr>
              <w:t>Ν</w:t>
            </w:r>
            <w:r w:rsidR="00315289" w:rsidRPr="00F6055F">
              <w:rPr>
                <w:rFonts w:ascii="Arial" w:eastAsia="Arial Unicode MS" w:hAnsi="Arial" w:cs="Arial"/>
                <w:sz w:val="20"/>
                <w:szCs w:val="20"/>
                <w:lang w:eastAsia="el-GR"/>
              </w:rPr>
              <w:t>όμου</w:t>
            </w:r>
            <w:r w:rsidR="00315289" w:rsidRPr="00F6055F" w:rsidDel="00315289">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8319C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1A2E39">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iv</w:t>
            </w:r>
            <w:r w:rsidRPr="00F6055F">
              <w:rPr>
                <w:rFonts w:ascii="Arial" w:eastAsia="Arial Unicode MS" w:hAnsi="Arial" w:cs="Arial"/>
                <w:sz w:val="20"/>
                <w:szCs w:val="20"/>
                <w:lang w:eastAsia="el-GR"/>
              </w:rPr>
              <w:t>) η χρήση εναλλακτικών μέτρων από το ΣΕΚ συνδέεται με την επιβολή όρων στο ΑΠΙ που λαμβάνει στήριξη</w:t>
            </w:r>
            <w:r w:rsidR="00A47D3B" w:rsidRPr="00F6055F">
              <w:rPr>
                <w:rFonts w:ascii="Arial" w:eastAsia="Arial Unicode MS" w:hAnsi="Arial" w:cs="Arial"/>
                <w:sz w:val="20"/>
                <w:szCs w:val="20"/>
                <w:lang w:eastAsia="el-GR"/>
              </w:rPr>
              <w:t>,</w:t>
            </w:r>
            <w:r w:rsidRPr="00F6055F">
              <w:rPr>
                <w:rFonts w:ascii="Arial" w:eastAsia="Arial Unicode MS" w:hAnsi="Arial" w:cs="Arial"/>
                <w:sz w:val="20"/>
                <w:szCs w:val="20"/>
                <w:lang w:eastAsia="el-GR"/>
              </w:rPr>
              <w:t xml:space="preserve"> οι οποίοι περιλαμβάνουν τουλάχιστον αυστηρότερη παρακολούθηση τ</w:t>
            </w:r>
            <w:r w:rsidR="001A2E39" w:rsidRPr="00F6055F">
              <w:rPr>
                <w:rFonts w:ascii="Arial" w:eastAsia="Arial Unicode MS" w:hAnsi="Arial" w:cs="Arial"/>
                <w:sz w:val="20"/>
                <w:szCs w:val="20"/>
                <w:lang w:eastAsia="el-GR"/>
              </w:rPr>
              <w:t>ων</w:t>
            </w:r>
            <w:r w:rsidRPr="00F6055F">
              <w:rPr>
                <w:rFonts w:ascii="Arial" w:eastAsia="Arial Unicode MS" w:hAnsi="Arial" w:cs="Arial"/>
                <w:sz w:val="20"/>
                <w:szCs w:val="20"/>
                <w:lang w:eastAsia="el-GR"/>
              </w:rPr>
              <w:t xml:space="preserve"> κινδύν</w:t>
            </w:r>
            <w:r w:rsidR="001A2E39" w:rsidRPr="00F6055F">
              <w:rPr>
                <w:rFonts w:ascii="Arial" w:eastAsia="Arial Unicode MS" w:hAnsi="Arial" w:cs="Arial"/>
                <w:sz w:val="20"/>
                <w:szCs w:val="20"/>
                <w:lang w:eastAsia="el-GR"/>
              </w:rPr>
              <w:t>ων που αναλαμβάνει το ΑΠΙ</w:t>
            </w:r>
            <w:r w:rsidRPr="00F6055F">
              <w:rPr>
                <w:rFonts w:ascii="Arial" w:eastAsia="Arial Unicode MS" w:hAnsi="Arial" w:cs="Arial"/>
                <w:sz w:val="20"/>
                <w:szCs w:val="20"/>
                <w:lang w:eastAsia="el-GR"/>
              </w:rPr>
              <w:t xml:space="preserve"> και ενισχυμένα δικαιώματα ελέγχου </w:t>
            </w:r>
            <w:r w:rsidR="001A2E39" w:rsidRPr="00F6055F">
              <w:rPr>
                <w:rFonts w:ascii="Arial" w:eastAsia="Arial Unicode MS" w:hAnsi="Arial" w:cs="Arial"/>
                <w:sz w:val="20"/>
                <w:szCs w:val="20"/>
                <w:lang w:eastAsia="el-GR"/>
              </w:rPr>
              <w:t>του ΑΠΙ από</w:t>
            </w:r>
            <w:r w:rsidRPr="00F6055F">
              <w:rPr>
                <w:rFonts w:ascii="Arial" w:eastAsia="Arial Unicode MS" w:hAnsi="Arial" w:cs="Arial"/>
                <w:sz w:val="20"/>
                <w:szCs w:val="20"/>
                <w:lang w:eastAsia="el-GR"/>
              </w:rPr>
              <w:t xml:space="preserve"> το ΣΕΚ·</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8319C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A473D1">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v</w:t>
            </w:r>
            <w:r w:rsidRPr="00F6055F">
              <w:rPr>
                <w:rFonts w:ascii="Arial" w:eastAsia="Arial Unicode MS" w:hAnsi="Arial" w:cs="Arial"/>
                <w:sz w:val="20"/>
                <w:szCs w:val="20"/>
                <w:lang w:eastAsia="el-GR"/>
              </w:rPr>
              <w:t xml:space="preserve">) </w:t>
            </w:r>
            <w:r w:rsidRPr="00F6055F">
              <w:rPr>
                <w:rFonts w:ascii="Arial" w:hAnsi="Arial" w:cs="Arial"/>
                <w:sz w:val="20"/>
                <w:szCs w:val="20"/>
              </w:rPr>
              <w:t xml:space="preserve"> </w:t>
            </w:r>
            <w:r w:rsidRPr="00F6055F">
              <w:rPr>
                <w:rFonts w:ascii="Arial" w:hAnsi="Arial" w:cs="Arial"/>
                <w:sz w:val="20"/>
                <w:szCs w:val="20"/>
              </w:rPr>
              <w:tab/>
            </w:r>
            <w:r w:rsidRPr="00F6055F">
              <w:rPr>
                <w:rFonts w:ascii="Arial" w:eastAsia="Arial Unicode MS" w:hAnsi="Arial" w:cs="Arial"/>
                <w:sz w:val="20"/>
                <w:szCs w:val="20"/>
                <w:lang w:eastAsia="el-GR"/>
              </w:rPr>
              <w:t xml:space="preserve">το ΑΠΙ που λαμβάνει στήριξη </w:t>
            </w:r>
            <w:r w:rsidR="001A2E39" w:rsidRPr="00F6055F">
              <w:rPr>
                <w:rFonts w:ascii="Arial" w:eastAsia="Arial Unicode MS" w:hAnsi="Arial" w:cs="Arial"/>
                <w:sz w:val="20"/>
                <w:szCs w:val="20"/>
                <w:lang w:eastAsia="el-GR"/>
              </w:rPr>
              <w:t>παρέχει δεσμεύσεις για</w:t>
            </w:r>
            <w:r w:rsidRPr="00F6055F">
              <w:rPr>
                <w:rFonts w:ascii="Arial" w:eastAsia="Arial Unicode MS" w:hAnsi="Arial" w:cs="Arial"/>
                <w:sz w:val="20"/>
                <w:szCs w:val="20"/>
                <w:lang w:eastAsia="el-GR"/>
              </w:rPr>
              <w:t xml:space="preserve"> διασφ</w:t>
            </w:r>
            <w:r w:rsidR="001A2E39" w:rsidRPr="00F6055F">
              <w:rPr>
                <w:rFonts w:ascii="Arial" w:eastAsia="Arial Unicode MS" w:hAnsi="Arial" w:cs="Arial"/>
                <w:sz w:val="20"/>
                <w:szCs w:val="20"/>
                <w:lang w:eastAsia="el-GR"/>
              </w:rPr>
              <w:t>άλιση</w:t>
            </w:r>
            <w:r w:rsidRPr="00F6055F">
              <w:rPr>
                <w:rFonts w:ascii="Arial" w:eastAsia="Arial Unicode MS" w:hAnsi="Arial" w:cs="Arial"/>
                <w:sz w:val="20"/>
                <w:szCs w:val="20"/>
                <w:lang w:eastAsia="el-GR"/>
              </w:rPr>
              <w:t xml:space="preserve"> </w:t>
            </w:r>
            <w:r w:rsidR="001A2E39" w:rsidRPr="00F6055F">
              <w:rPr>
                <w:rFonts w:ascii="Arial" w:eastAsia="Arial Unicode MS" w:hAnsi="Arial" w:cs="Arial"/>
                <w:sz w:val="20"/>
                <w:szCs w:val="20"/>
                <w:lang w:eastAsia="el-GR"/>
              </w:rPr>
              <w:t>τ</w:t>
            </w:r>
            <w:r w:rsidRPr="00F6055F">
              <w:rPr>
                <w:rFonts w:ascii="Arial" w:eastAsia="Arial Unicode MS" w:hAnsi="Arial" w:cs="Arial"/>
                <w:sz w:val="20"/>
                <w:szCs w:val="20"/>
                <w:lang w:eastAsia="el-GR"/>
              </w:rPr>
              <w:t>η</w:t>
            </w:r>
            <w:r w:rsidR="001A2E39" w:rsidRPr="00F6055F">
              <w:rPr>
                <w:rFonts w:ascii="Arial" w:eastAsia="Arial Unicode MS" w:hAnsi="Arial" w:cs="Arial"/>
                <w:sz w:val="20"/>
                <w:szCs w:val="20"/>
                <w:lang w:eastAsia="el-GR"/>
              </w:rPr>
              <w:t>ς</w:t>
            </w:r>
            <w:r w:rsidRPr="00F6055F">
              <w:rPr>
                <w:rFonts w:ascii="Arial" w:eastAsia="Arial Unicode MS" w:hAnsi="Arial" w:cs="Arial"/>
                <w:sz w:val="20"/>
                <w:szCs w:val="20"/>
                <w:lang w:eastAsia="el-GR"/>
              </w:rPr>
              <w:t xml:space="preserve"> πρόσβαση</w:t>
            </w:r>
            <w:r w:rsidR="001A2E39" w:rsidRPr="00F6055F">
              <w:rPr>
                <w:rFonts w:ascii="Arial" w:eastAsia="Arial Unicode MS" w:hAnsi="Arial" w:cs="Arial"/>
                <w:sz w:val="20"/>
                <w:szCs w:val="20"/>
                <w:lang w:eastAsia="el-GR"/>
              </w:rPr>
              <w:t>ς των καταθετών</w:t>
            </w:r>
            <w:r w:rsidRPr="00F6055F">
              <w:rPr>
                <w:rFonts w:ascii="Arial" w:eastAsia="Arial Unicode MS" w:hAnsi="Arial" w:cs="Arial"/>
                <w:sz w:val="20"/>
                <w:szCs w:val="20"/>
                <w:lang w:eastAsia="el-GR"/>
              </w:rPr>
              <w:t xml:space="preserve"> στις καλυπτόμενες καταθέσεις</w:t>
            </w:r>
            <w:r w:rsidR="001A2E39" w:rsidRPr="00F6055F">
              <w:rPr>
                <w:rFonts w:ascii="Arial" w:eastAsia="Arial Unicode MS" w:hAnsi="Arial" w:cs="Arial"/>
                <w:sz w:val="20"/>
                <w:szCs w:val="20"/>
                <w:lang w:eastAsia="el-GR"/>
              </w:rPr>
              <w:t xml:space="preserve"> τους</w:t>
            </w:r>
            <w:r w:rsidRPr="00F6055F">
              <w:rPr>
                <w:rFonts w:ascii="Arial" w:eastAsia="Arial Unicode MS" w:hAnsi="Arial" w:cs="Arial"/>
                <w:sz w:val="20"/>
                <w:szCs w:val="20"/>
                <w:lang w:eastAsia="el-GR"/>
              </w:rPr>
              <w:t xml:space="preserve">· </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8319C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vi</w:t>
            </w:r>
            <w:r w:rsidRPr="00F6055F">
              <w:rPr>
                <w:rFonts w:ascii="Arial" w:eastAsia="Arial Unicode MS" w:hAnsi="Arial" w:cs="Arial"/>
                <w:sz w:val="20"/>
                <w:szCs w:val="20"/>
                <w:lang w:eastAsia="el-GR"/>
              </w:rPr>
              <w:t xml:space="preserve">) </w:t>
            </w:r>
            <w:r w:rsidRPr="00F6055F">
              <w:rPr>
                <w:rFonts w:ascii="Arial" w:hAnsi="Arial" w:cs="Arial"/>
                <w:sz w:val="20"/>
                <w:szCs w:val="20"/>
              </w:rPr>
              <w:t xml:space="preserve"> </w:t>
            </w:r>
            <w:r w:rsidRPr="00F6055F">
              <w:rPr>
                <w:rFonts w:ascii="Arial" w:eastAsia="Arial Unicode MS" w:hAnsi="Arial" w:cs="Arial"/>
                <w:sz w:val="20"/>
                <w:szCs w:val="20"/>
                <w:lang w:eastAsia="el-GR"/>
              </w:rPr>
              <w:t xml:space="preserve">η </w:t>
            </w:r>
            <w:r w:rsidR="001A2E39" w:rsidRPr="00F6055F">
              <w:rPr>
                <w:rFonts w:ascii="Arial" w:eastAsia="Arial Unicode MS" w:hAnsi="Arial" w:cs="Arial"/>
                <w:sz w:val="20"/>
                <w:szCs w:val="20"/>
                <w:lang w:eastAsia="el-GR"/>
              </w:rPr>
              <w:t xml:space="preserve">Κεντρική Τράπεζα αξιολογεί και επιβεβαιώνει την </w:t>
            </w:r>
            <w:r w:rsidRPr="00F6055F">
              <w:rPr>
                <w:rFonts w:ascii="Arial" w:eastAsia="Arial Unicode MS" w:hAnsi="Arial" w:cs="Arial"/>
                <w:sz w:val="20"/>
                <w:szCs w:val="20"/>
                <w:lang w:eastAsia="el-GR"/>
              </w:rPr>
              <w:t xml:space="preserve">ικανότητα των συμμετεχόντων στο ΣΕΚ ΑΠΙ να καταβάλουν έκτακτες εισφορές σύμφωνα με </w:t>
            </w:r>
            <w:r w:rsidR="00C635D1" w:rsidRPr="00F6055F">
              <w:rPr>
                <w:rFonts w:ascii="Arial" w:eastAsia="Arial Unicode MS" w:hAnsi="Arial" w:cs="Arial"/>
                <w:sz w:val="20"/>
                <w:szCs w:val="20"/>
                <w:lang w:eastAsia="el-GR"/>
              </w:rPr>
              <w:t>τον κ</w:t>
            </w:r>
            <w:r w:rsidR="00756724" w:rsidRPr="00F6055F">
              <w:rPr>
                <w:rFonts w:ascii="Arial" w:eastAsia="Arial Unicode MS" w:hAnsi="Arial" w:cs="Arial"/>
                <w:sz w:val="20"/>
                <w:szCs w:val="20"/>
                <w:lang w:eastAsia="el-GR"/>
              </w:rPr>
              <w:t>ανονισμό 17(1)(γ) των Κανονισμών</w:t>
            </w:r>
            <w:r w:rsidR="00A54882" w:rsidRPr="00F6055F">
              <w:rPr>
                <w:rFonts w:ascii="Arial" w:eastAsia="Arial Unicode MS" w:hAnsi="Arial" w:cs="Arial"/>
                <w:sz w:val="20"/>
                <w:szCs w:val="20"/>
                <w:lang w:eastAsia="el-GR"/>
              </w:rPr>
              <w:t>.</w:t>
            </w:r>
          </w:p>
          <w:p w:rsidR="003F373C" w:rsidRPr="00F6055F" w:rsidRDefault="003F373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p w:rsidR="00E61CA1" w:rsidRPr="00F6055F" w:rsidRDefault="002A576C"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(β) </w:t>
            </w:r>
            <w:r w:rsidR="00E61CA1" w:rsidRPr="00F6055F">
              <w:rPr>
                <w:rFonts w:ascii="Arial" w:hAnsi="Arial" w:cs="Arial"/>
                <w:sz w:val="20"/>
                <w:szCs w:val="20"/>
              </w:rPr>
              <w:t>Τα ε</w:t>
            </w:r>
            <w:r w:rsidR="00E61CA1" w:rsidRPr="00F6055F">
              <w:rPr>
                <w:rFonts w:ascii="Arial" w:eastAsia="Arial Unicode MS" w:hAnsi="Arial" w:cs="Arial"/>
                <w:sz w:val="20"/>
                <w:szCs w:val="20"/>
                <w:lang w:eastAsia="el-GR"/>
              </w:rPr>
              <w:t xml:space="preserve">ναλλακτικά μέτρα που αναφέρονται στην παράγραφο (α) </w:t>
            </w:r>
            <w:r w:rsidR="00644041" w:rsidRPr="00F6055F">
              <w:rPr>
                <w:rFonts w:ascii="Arial" w:eastAsia="Arial Unicode MS" w:hAnsi="Arial" w:cs="Arial"/>
                <w:sz w:val="20"/>
                <w:szCs w:val="20"/>
                <w:lang w:eastAsia="el-GR"/>
              </w:rPr>
              <w:t xml:space="preserve">μπορεί να </w:t>
            </w:r>
            <w:r w:rsidR="00E61CA1" w:rsidRPr="00F6055F">
              <w:rPr>
                <w:rFonts w:ascii="Arial" w:eastAsia="Arial Unicode MS" w:hAnsi="Arial" w:cs="Arial"/>
                <w:sz w:val="20"/>
                <w:szCs w:val="20"/>
                <w:lang w:eastAsia="el-GR"/>
              </w:rPr>
              <w:t xml:space="preserve">είναι </w:t>
            </w:r>
            <w:r w:rsidR="00644041" w:rsidRPr="00F6055F">
              <w:rPr>
                <w:rFonts w:ascii="Arial" w:eastAsia="Arial Unicode MS" w:hAnsi="Arial" w:cs="Arial"/>
                <w:sz w:val="20"/>
                <w:szCs w:val="20"/>
                <w:lang w:eastAsia="el-GR"/>
              </w:rPr>
              <w:t xml:space="preserve">τουλάχιστον ένα από </w:t>
            </w:r>
            <w:r w:rsidR="00E61CA1" w:rsidRPr="00F6055F">
              <w:rPr>
                <w:rFonts w:ascii="Arial" w:eastAsia="Arial Unicode MS" w:hAnsi="Arial" w:cs="Arial"/>
                <w:sz w:val="20"/>
                <w:szCs w:val="20"/>
                <w:lang w:eastAsia="el-GR"/>
              </w:rPr>
              <w:t>τα ακόλουθα:</w:t>
            </w:r>
          </w:p>
          <w:p w:rsidR="00E61CA1" w:rsidRPr="00F6055F" w:rsidRDefault="00E61CA1"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p w:rsidR="00E61CA1" w:rsidRPr="00F6055F" w:rsidRDefault="00E61CA1" w:rsidP="00517D90">
            <w:pPr>
              <w:numPr>
                <w:ilvl w:val="0"/>
                <w:numId w:val="6"/>
              </w:numPr>
              <w:tabs>
                <w:tab w:val="left" w:pos="459"/>
              </w:tabs>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η χορήγηση δανείων προς ΑΠΙ</w:t>
            </w:r>
          </w:p>
          <w:p w:rsidR="00E61CA1" w:rsidRPr="00F6055F" w:rsidRDefault="00E61CA1" w:rsidP="00517D90">
            <w:pPr>
              <w:numPr>
                <w:ilvl w:val="0"/>
                <w:numId w:val="6"/>
              </w:numPr>
              <w:tabs>
                <w:tab w:val="left" w:pos="459"/>
              </w:tabs>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η παροχή εγγυήσεων για δανεισμό που θα λάβει ΑΠΙ ή/και η παροχή εγγυήσεων για την έκδοση ομολόγων από ΑΠΙ, έναντι κατάλληλου τιμήματος</w:t>
            </w:r>
          </w:p>
          <w:p w:rsidR="00E61CA1" w:rsidRPr="00F6055F" w:rsidRDefault="00E61CA1" w:rsidP="00517D90">
            <w:pPr>
              <w:numPr>
                <w:ilvl w:val="0"/>
                <w:numId w:val="6"/>
              </w:numPr>
              <w:tabs>
                <w:tab w:val="left" w:pos="459"/>
              </w:tabs>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η εξ ολοκλήρου </w:t>
            </w:r>
            <w:r w:rsidR="003A1B0D" w:rsidRPr="00F6055F">
              <w:rPr>
                <w:rFonts w:ascii="Arial" w:eastAsia="Arial Unicode MS" w:hAnsi="Arial" w:cs="Arial"/>
                <w:sz w:val="20"/>
                <w:szCs w:val="20"/>
                <w:lang w:eastAsia="el-GR"/>
              </w:rPr>
              <w:t xml:space="preserve">ή εν μέρει </w:t>
            </w:r>
            <w:r w:rsidRPr="00F6055F">
              <w:rPr>
                <w:rFonts w:ascii="Arial" w:eastAsia="Arial Unicode MS" w:hAnsi="Arial" w:cs="Arial"/>
                <w:sz w:val="20"/>
                <w:szCs w:val="20"/>
                <w:lang w:eastAsia="el-GR"/>
              </w:rPr>
              <w:t xml:space="preserve">αναδοχή των δικαιωμάτων προτίμησης της έκδοσης κεφαλαίου ή η παροχή κεφαλαίου, έναντι της απόκτησης ισότιμης συμμετοχής στην ιδιοκτησιακή δομή  ΑΠΙ. </w:t>
            </w:r>
          </w:p>
          <w:p w:rsidR="002A02E8" w:rsidRPr="00F6055F" w:rsidRDefault="002A02E8" w:rsidP="00517D90">
            <w:pPr>
              <w:tabs>
                <w:tab w:val="left" w:pos="459"/>
              </w:tabs>
              <w:spacing w:after="0" w:line="240" w:lineRule="auto"/>
              <w:ind w:left="754"/>
              <w:contextualSpacing/>
              <w:mirrorIndents/>
              <w:jc w:val="both"/>
              <w:rPr>
                <w:rFonts w:ascii="Arial" w:eastAsia="Arial Unicode MS" w:hAnsi="Arial" w:cs="Arial"/>
                <w:sz w:val="20"/>
                <w:szCs w:val="20"/>
                <w:lang w:eastAsia="el-GR"/>
              </w:rPr>
            </w:pPr>
          </w:p>
          <w:p w:rsidR="002A02E8" w:rsidRPr="00F6055F" w:rsidRDefault="00773CFD" w:rsidP="00517D90">
            <w:pPr>
              <w:tabs>
                <w:tab w:val="left" w:pos="459"/>
              </w:tabs>
              <w:spacing w:after="0" w:line="240" w:lineRule="auto"/>
              <w:ind w:left="754"/>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Νοείτ</w:t>
            </w:r>
            <w:r w:rsidR="002A02E8" w:rsidRPr="00F6055F">
              <w:rPr>
                <w:rFonts w:ascii="Arial" w:eastAsia="Arial Unicode MS" w:hAnsi="Arial" w:cs="Arial"/>
                <w:sz w:val="20"/>
                <w:szCs w:val="20"/>
                <w:lang w:eastAsia="el-GR"/>
              </w:rPr>
              <w:t xml:space="preserve">αι ότι το ΣΕΚ, κατόπιν εισήγησης της </w:t>
            </w:r>
            <w:r w:rsidR="00834640" w:rsidRPr="00F6055F">
              <w:rPr>
                <w:rFonts w:ascii="Arial" w:eastAsia="Arial Unicode MS" w:hAnsi="Arial" w:cs="Arial"/>
                <w:sz w:val="20"/>
                <w:szCs w:val="20"/>
                <w:lang w:eastAsia="el-GR"/>
              </w:rPr>
              <w:t>Κεντρικής Τράπεζας</w:t>
            </w:r>
            <w:r w:rsidR="00643282" w:rsidRPr="00F6055F">
              <w:rPr>
                <w:rFonts w:ascii="Arial" w:eastAsia="Arial Unicode MS" w:hAnsi="Arial" w:cs="Arial"/>
                <w:sz w:val="20"/>
                <w:szCs w:val="20"/>
                <w:lang w:eastAsia="el-GR"/>
              </w:rPr>
              <w:t>,</w:t>
            </w:r>
            <w:r w:rsidR="00F14D8D" w:rsidRPr="00F6055F">
              <w:rPr>
                <w:rFonts w:ascii="Arial" w:eastAsia="Arial Unicode MS" w:hAnsi="Arial" w:cs="Arial"/>
                <w:sz w:val="20"/>
                <w:szCs w:val="20"/>
                <w:lang w:eastAsia="el-GR"/>
              </w:rPr>
              <w:t xml:space="preserve"> δύναται </w:t>
            </w:r>
            <w:r w:rsidRPr="00F6055F">
              <w:rPr>
                <w:rFonts w:ascii="Arial" w:eastAsia="Arial Unicode MS" w:hAnsi="Arial" w:cs="Arial"/>
                <w:sz w:val="20"/>
                <w:szCs w:val="20"/>
                <w:lang w:eastAsia="el-GR"/>
              </w:rPr>
              <w:t xml:space="preserve">να </w:t>
            </w:r>
            <w:r w:rsidR="00F14D8D" w:rsidRPr="00F6055F">
              <w:rPr>
                <w:rFonts w:ascii="Arial" w:eastAsia="Arial Unicode MS" w:hAnsi="Arial" w:cs="Arial"/>
                <w:sz w:val="20"/>
                <w:szCs w:val="20"/>
                <w:lang w:eastAsia="el-GR"/>
              </w:rPr>
              <w:t xml:space="preserve">προχωρήσει στη λήψη άλλων ή/και επιπρόσθετων εναλλακτικών μέτρων πέραν αυτών που αναφέρονται πιο πάνω. </w:t>
            </w:r>
          </w:p>
          <w:p w:rsidR="00E61CA1" w:rsidRPr="00F6055F" w:rsidRDefault="00E61CA1" w:rsidP="002A576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p>
          <w:p w:rsidR="002A576C" w:rsidRPr="00F6055F" w:rsidRDefault="00E61CA1" w:rsidP="000B4A3C">
            <w:pPr>
              <w:tabs>
                <w:tab w:val="left" w:pos="459"/>
              </w:tabs>
              <w:spacing w:after="0" w:line="240" w:lineRule="auto"/>
              <w:ind w:left="459" w:hanging="425"/>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(γ) </w:t>
            </w:r>
            <w:r w:rsidR="00870C11" w:rsidRPr="00F6055F">
              <w:rPr>
                <w:rFonts w:ascii="Arial" w:eastAsia="Arial Unicode MS" w:hAnsi="Arial" w:cs="Arial"/>
                <w:sz w:val="20"/>
                <w:szCs w:val="20"/>
                <w:lang w:eastAsia="el-GR"/>
              </w:rPr>
              <w:t xml:space="preserve">  </w:t>
            </w:r>
            <w:r w:rsidR="002A576C" w:rsidRPr="00F6055F">
              <w:rPr>
                <w:rFonts w:ascii="Arial" w:eastAsia="Arial Unicode MS" w:hAnsi="Arial" w:cs="Arial"/>
                <w:sz w:val="20"/>
                <w:szCs w:val="20"/>
                <w:lang w:eastAsia="el-GR"/>
              </w:rPr>
              <w:t>Το ΣΕΚ</w:t>
            </w:r>
            <w:r w:rsidR="001A2E39" w:rsidRPr="00F6055F">
              <w:rPr>
                <w:rFonts w:ascii="Arial" w:eastAsia="Arial Unicode MS" w:hAnsi="Arial" w:cs="Arial"/>
                <w:sz w:val="20"/>
                <w:szCs w:val="20"/>
                <w:lang w:eastAsia="el-GR"/>
              </w:rPr>
              <w:t xml:space="preserve"> </w:t>
            </w:r>
            <w:r w:rsidR="002A576C" w:rsidRPr="00F6055F">
              <w:rPr>
                <w:rFonts w:ascii="Arial" w:eastAsia="Arial Unicode MS" w:hAnsi="Arial" w:cs="Arial"/>
                <w:sz w:val="20"/>
                <w:szCs w:val="20"/>
                <w:lang w:eastAsia="el-GR"/>
              </w:rPr>
              <w:t>αποφασίζει σχετικά με τα μέτρα και τους όρους που θα επιβληθούν στο ΑΠΙ</w:t>
            </w:r>
            <w:r w:rsidR="001A2E39" w:rsidRPr="00F6055F">
              <w:rPr>
                <w:rFonts w:ascii="Arial" w:eastAsia="Arial Unicode MS" w:hAnsi="Arial" w:cs="Arial"/>
                <w:sz w:val="20"/>
                <w:szCs w:val="20"/>
                <w:lang w:eastAsia="el-GR"/>
              </w:rPr>
              <w:t xml:space="preserve"> κατόπιν εισήγησης της Κεντρικής Τράπεζας, η οποία διαβουλεύεται</w:t>
            </w:r>
            <w:r w:rsidR="000B4A3C" w:rsidRPr="00F6055F">
              <w:rPr>
                <w:rFonts w:ascii="Arial" w:eastAsia="Arial Unicode MS" w:hAnsi="Arial" w:cs="Arial"/>
                <w:sz w:val="20"/>
                <w:szCs w:val="20"/>
                <w:lang w:eastAsia="el-GR"/>
              </w:rPr>
              <w:t xml:space="preserve"> για </w:t>
            </w:r>
            <w:r w:rsidR="001A2E39" w:rsidRPr="00F6055F">
              <w:rPr>
                <w:rFonts w:ascii="Arial" w:eastAsia="Arial Unicode MS" w:hAnsi="Arial" w:cs="Arial"/>
                <w:sz w:val="20"/>
                <w:szCs w:val="20"/>
                <w:lang w:eastAsia="el-GR"/>
              </w:rPr>
              <w:t>το σκοπό</w:t>
            </w:r>
            <w:r w:rsidR="000B4A3C" w:rsidRPr="00F6055F">
              <w:rPr>
                <w:rFonts w:ascii="Arial" w:eastAsia="Arial Unicode MS" w:hAnsi="Arial" w:cs="Arial"/>
                <w:sz w:val="20"/>
                <w:szCs w:val="20"/>
                <w:lang w:eastAsia="el-GR"/>
              </w:rPr>
              <w:t xml:space="preserve"> αυτό</w:t>
            </w:r>
            <w:r w:rsidR="001A2E39" w:rsidRPr="00F6055F">
              <w:rPr>
                <w:rFonts w:ascii="Arial" w:eastAsia="Arial Unicode MS" w:hAnsi="Arial" w:cs="Arial"/>
                <w:sz w:val="20"/>
                <w:szCs w:val="20"/>
                <w:lang w:eastAsia="el-GR"/>
              </w:rPr>
              <w:t xml:space="preserve"> με την αρχή εξυγίανσης</w:t>
            </w:r>
            <w:r w:rsidR="002A576C" w:rsidRPr="00F6055F">
              <w:rPr>
                <w:rFonts w:ascii="Arial" w:eastAsia="Arial Unicode MS" w:hAnsi="Arial" w:cs="Arial"/>
                <w:sz w:val="20"/>
                <w:szCs w:val="20"/>
                <w:lang w:eastAsia="el-GR"/>
              </w:rPr>
              <w:t>.</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FA6ED3">
            <w:pPr>
              <w:spacing w:after="0" w:line="240" w:lineRule="auto"/>
              <w:contextualSpacing/>
              <w:mirrorIndents/>
              <w:jc w:val="both"/>
              <w:rPr>
                <w:rFonts w:ascii="Arial" w:hAnsi="Arial" w:cs="Arial"/>
                <w:sz w:val="20"/>
                <w:szCs w:val="20"/>
              </w:rPr>
            </w:pP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1842" w:type="dxa"/>
            <w:gridSpan w:val="3"/>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6237" w:type="dxa"/>
            <w:gridSpan w:val="3"/>
          </w:tcPr>
          <w:p w:rsidR="002A576C" w:rsidRPr="00F6055F" w:rsidRDefault="002A576C" w:rsidP="00E074C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(4) Τα διαθέσιμα χρηματοδοτικά μέσα του Ταμείου Εγγύησης Καταθέσεων δύνανται να χρησιμοποιηθούν επίσης για τη χρηματοδότηση</w:t>
            </w:r>
            <w:r w:rsidRPr="00F6055F">
              <w:rPr>
                <w:rFonts w:ascii="Arial" w:hAnsi="Arial" w:cs="Arial"/>
                <w:sz w:val="20"/>
                <w:szCs w:val="20"/>
              </w:rPr>
              <w:t xml:space="preserve"> </w:t>
            </w:r>
            <w:r w:rsidRPr="00F6055F">
              <w:rPr>
                <w:rFonts w:ascii="Arial" w:eastAsia="Arial Unicode MS" w:hAnsi="Arial" w:cs="Arial"/>
                <w:sz w:val="20"/>
                <w:szCs w:val="20"/>
                <w:lang w:eastAsia="el-GR"/>
              </w:rPr>
              <w:t xml:space="preserve">μέτρων που αποσκοπούν στη διατήρηση της πρόσβασης των καταθετών σε καλυπτόμενες καταθέσεις, συμπεριλαμβανομένης της μεταφοράς στοιχείων του ενεργητικού και του παθητικού και της λογιστικής μεταφοράς καταθέσεων  για την εκκαθάριση ΑΠΙ κατά τα προβλεπόμενα στον περί Εκκαθάρισης Πιστωτικών Ιδρυμάτων Νόμο υπό την προϋπόθεση ότι τα κόστη που βαραίνουν το ΣΕΚ, άμεσα ή έμμεσα, δεν υπερβαίνουν το καθαρό ποσό αποζημίωσης των καλυπτόμενων καταθετών του εν λόγω ΑΠΙ. </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άρθρου 1</w:t>
            </w:r>
            <w:r w:rsidRPr="00F6055F">
              <w:rPr>
                <w:rFonts w:ascii="Arial" w:hAnsi="Arial"/>
                <w:sz w:val="20"/>
              </w:rPr>
              <w:t>1</w:t>
            </w:r>
            <w:r w:rsidRPr="00F6055F">
              <w:rPr>
                <w:rFonts w:ascii="Arial" w:eastAsia="Arial Unicode MS" w:hAnsi="Arial" w:cs="Arial"/>
                <w:sz w:val="20"/>
                <w:szCs w:val="20"/>
                <w:lang w:eastAsia="el-GR"/>
              </w:rPr>
              <w:t xml:space="preserve"> </w:t>
            </w:r>
          </w:p>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2A576C" w:rsidRPr="00F6055F" w:rsidRDefault="00C56E23" w:rsidP="002A576C">
            <w:pPr>
              <w:spacing w:after="0" w:line="240" w:lineRule="auto"/>
              <w:contextualSpacing/>
              <w:mirrorIndents/>
              <w:jc w:val="both"/>
              <w:rPr>
                <w:rFonts w:ascii="Arial" w:eastAsia="Arial Unicode MS" w:hAnsi="Arial" w:cs="Arial"/>
                <w:sz w:val="20"/>
                <w:szCs w:val="20"/>
                <w:lang w:eastAsia="el-GR"/>
              </w:rPr>
            </w:pPr>
            <w:r>
              <w:rPr>
                <w:rFonts w:ascii="Arial" w:eastAsia="Arial Unicode MS" w:hAnsi="Arial" w:cs="Arial"/>
                <w:sz w:val="20"/>
                <w:szCs w:val="20"/>
                <w:lang w:eastAsia="el-GR"/>
              </w:rPr>
              <w:t>7</w:t>
            </w:r>
            <w:r w:rsidR="002A576C" w:rsidRPr="00F6055F">
              <w:rPr>
                <w:rFonts w:ascii="Arial" w:eastAsia="Arial Unicode MS" w:hAnsi="Arial" w:cs="Arial"/>
                <w:sz w:val="20"/>
                <w:szCs w:val="20"/>
                <w:lang w:eastAsia="el-GR"/>
              </w:rPr>
              <w:t>. Το άρθρο 11 του βασικού νόμου τροποποιείται ως ακολούθως:</w:t>
            </w:r>
          </w:p>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Επίσημη Εφημερίδα της ΕΕ:</w:t>
            </w:r>
          </w:p>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val="en-GB" w:eastAsia="el-GR"/>
              </w:rPr>
              <w:t>L</w:t>
            </w:r>
            <w:r w:rsidRPr="00F6055F">
              <w:rPr>
                <w:rFonts w:ascii="Arial" w:eastAsia="Arial Unicode MS" w:hAnsi="Arial" w:cs="Arial"/>
                <w:sz w:val="20"/>
                <w:szCs w:val="20"/>
                <w:lang w:eastAsia="el-GR"/>
              </w:rPr>
              <w:t xml:space="preserve"> 225,</w:t>
            </w:r>
          </w:p>
          <w:p w:rsidR="002A576C" w:rsidRPr="00F6055F" w:rsidRDefault="002A576C" w:rsidP="002A576C">
            <w:pPr>
              <w:spacing w:after="0" w:line="240" w:lineRule="auto"/>
              <w:contextualSpacing/>
              <w:mirrorIndents/>
              <w:rPr>
                <w:rFonts w:ascii="Arial" w:eastAsia="Arial Unicode MS" w:hAnsi="Arial" w:cs="Arial"/>
                <w:sz w:val="20"/>
                <w:szCs w:val="20"/>
                <w:lang w:val="en-GB" w:eastAsia="el-GR"/>
              </w:rPr>
            </w:pPr>
            <w:r w:rsidRPr="00F6055F">
              <w:rPr>
                <w:rFonts w:ascii="Arial" w:eastAsia="Arial Unicode MS" w:hAnsi="Arial" w:cs="Arial"/>
                <w:sz w:val="20"/>
                <w:szCs w:val="20"/>
                <w:lang w:val="en-GB" w:eastAsia="el-GR"/>
              </w:rPr>
              <w:t>30.7.2015</w:t>
            </w:r>
          </w:p>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σ. 1</w:t>
            </w: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(α) Με την αντικατάσταση στο εδάφιο (1) αυτού της φράσης «όλων των ιδρυμάτων με άδεια λειτουργίας στη Δημοκρατία» (τέταρτη γραμμή) με τη φράση «όλων των ιδρυμάτων που δεν υπόκεινται σε υποχρέωση καταβολής εισφοράς στο Ενιαίο Ταμείο Εξυγίανσης δυνάμει του Κανονισμού (ΕΕ) αριθ. 806/2014». </w:t>
            </w:r>
          </w:p>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 </w:t>
            </w: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(β) με την αντικατάσταση στην δεύτερη </w:t>
            </w:r>
            <w:r w:rsidRPr="00F6055F">
              <w:rPr>
                <w:rFonts w:ascii="Arial" w:hAnsi="Arial"/>
                <w:sz w:val="20"/>
              </w:rPr>
              <w:t>παράγραφο</w:t>
            </w:r>
            <w:r w:rsidRPr="00F6055F">
              <w:rPr>
                <w:rFonts w:ascii="Arial" w:eastAsia="Arial Unicode MS" w:hAnsi="Arial" w:cs="Arial"/>
                <w:sz w:val="20"/>
                <w:szCs w:val="20"/>
                <w:lang w:eastAsia="el-GR"/>
              </w:rPr>
              <w:t xml:space="preserve"> του εδαφίου (2) αυτού, της φράσης «</w:t>
            </w:r>
            <w:proofErr w:type="spellStart"/>
            <w:r w:rsidRPr="00F6055F">
              <w:rPr>
                <w:rFonts w:ascii="Arial" w:eastAsia="Arial Unicode MS" w:hAnsi="Arial" w:cs="Arial"/>
                <w:sz w:val="20"/>
                <w:szCs w:val="20"/>
                <w:lang w:eastAsia="el-GR"/>
              </w:rPr>
              <w:t>αδειοδοτημένα</w:t>
            </w:r>
            <w:proofErr w:type="spellEnd"/>
            <w:r w:rsidRPr="00F6055F">
              <w:rPr>
                <w:rFonts w:ascii="Arial" w:eastAsia="Arial Unicode MS" w:hAnsi="Arial" w:cs="Arial"/>
                <w:sz w:val="20"/>
                <w:szCs w:val="20"/>
                <w:lang w:eastAsia="el-GR"/>
              </w:rPr>
              <w:t xml:space="preserve"> πιστωτικά ιδρύματα τα οποία λειτουργούν στη Δημοκρατία μέσω υποκαταστήματος και η έδρα τους βρίσκεται σε τρίτες χώρες» (όγδοη γραμμή) με τη φράση «υποκαταστήματα ιδρυμάτων τρίτων χωρών».</w:t>
            </w: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(γ) Με την αντικατάσταση στο εδάφιο (5) αυτού της φράσης «ιδρυμάτων με άδεια λειτουργίας στη Δημοκρατία» (τέταρτη και πέμπτη γραμμή) με τη φράση «ιδρυμάτων που αναφέρονται στο εδάφιο (1)».</w:t>
            </w: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Del="00641309"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Τροποποίηση του άρθρου 12 του βασικού νόμου</w:t>
            </w:r>
          </w:p>
        </w:tc>
        <w:tc>
          <w:tcPr>
            <w:tcW w:w="8079" w:type="dxa"/>
            <w:gridSpan w:val="6"/>
          </w:tcPr>
          <w:p w:rsidR="002A576C" w:rsidRPr="00F6055F" w:rsidRDefault="00C56E23" w:rsidP="002A576C">
            <w:pPr>
              <w:spacing w:after="0" w:line="240" w:lineRule="auto"/>
              <w:contextualSpacing/>
              <w:mirrorIndents/>
              <w:jc w:val="both"/>
              <w:rPr>
                <w:rFonts w:ascii="Arial" w:eastAsia="Arial Unicode MS" w:hAnsi="Arial" w:cs="Arial"/>
                <w:sz w:val="20"/>
                <w:szCs w:val="20"/>
                <w:lang w:eastAsia="el-GR"/>
              </w:rPr>
            </w:pPr>
            <w:r>
              <w:rPr>
                <w:rFonts w:ascii="Arial" w:eastAsia="Arial Unicode MS" w:hAnsi="Arial" w:cs="Arial"/>
                <w:sz w:val="20"/>
                <w:szCs w:val="20"/>
                <w:lang w:eastAsia="el-GR"/>
              </w:rPr>
              <w:t>8</w:t>
            </w:r>
            <w:r w:rsidR="002A576C" w:rsidRPr="00F6055F">
              <w:rPr>
                <w:rFonts w:ascii="Arial" w:eastAsia="Arial Unicode MS" w:hAnsi="Arial" w:cs="Arial"/>
                <w:sz w:val="20"/>
                <w:szCs w:val="20"/>
                <w:lang w:eastAsia="el-GR"/>
              </w:rPr>
              <w:t>. Το άρθρο 12 του βασικού νόμου τροποποιείται</w:t>
            </w:r>
            <w:r w:rsidR="002A576C" w:rsidRPr="00F6055F">
              <w:rPr>
                <w:rFonts w:ascii="Arial" w:hAnsi="Arial" w:cs="Arial"/>
                <w:sz w:val="20"/>
                <w:szCs w:val="20"/>
              </w:rPr>
              <w:t xml:space="preserve"> μ</w:t>
            </w:r>
            <w:r w:rsidR="002A576C" w:rsidRPr="00F6055F">
              <w:rPr>
                <w:rFonts w:ascii="Arial" w:eastAsia="Arial Unicode MS" w:hAnsi="Arial" w:cs="Arial"/>
                <w:sz w:val="20"/>
                <w:szCs w:val="20"/>
                <w:lang w:eastAsia="el-GR"/>
              </w:rPr>
              <w:t>ε την αντικατάσταση στο εδάφιο (1) αυτού της φράσης «ιδρύματα με άδεια λειτουργίας στη Δημοκρατία» (πέμπτη και έκτη γραμμή) με τη φράση «ιδρύματα που αναφέρονται στο εδάφιο (1) του άρθρου 11».</w:t>
            </w:r>
          </w:p>
        </w:tc>
      </w:tr>
      <w:tr w:rsidR="00F6055F" w:rsidRPr="00F6055F" w:rsidDel="00641309" w:rsidTr="00A54882">
        <w:tc>
          <w:tcPr>
            <w:tcW w:w="1668" w:type="dxa"/>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8079" w:type="dxa"/>
            <w:gridSpan w:val="6"/>
          </w:tcPr>
          <w:p w:rsidR="002A576C" w:rsidRPr="00F6055F" w:rsidDel="00641309"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15 </w:t>
            </w:r>
          </w:p>
          <w:p w:rsidR="002A576C" w:rsidRPr="00F6055F" w:rsidRDefault="002A576C" w:rsidP="002A576C">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2A576C" w:rsidRPr="00F6055F" w:rsidRDefault="00C56E23" w:rsidP="002A576C">
            <w:pPr>
              <w:spacing w:after="0" w:line="240" w:lineRule="auto"/>
              <w:contextualSpacing/>
              <w:mirrorIndents/>
              <w:jc w:val="both"/>
              <w:rPr>
                <w:rFonts w:ascii="Arial" w:eastAsia="Arial Unicode MS" w:hAnsi="Arial" w:cs="Arial"/>
                <w:sz w:val="20"/>
                <w:szCs w:val="20"/>
                <w:lang w:eastAsia="el-GR"/>
              </w:rPr>
            </w:pPr>
            <w:r>
              <w:rPr>
                <w:rFonts w:ascii="Arial" w:eastAsia="Arial Unicode MS" w:hAnsi="Arial" w:cs="Arial"/>
                <w:sz w:val="20"/>
                <w:szCs w:val="20"/>
                <w:lang w:eastAsia="el-GR"/>
              </w:rPr>
              <w:t>9</w:t>
            </w:r>
            <w:r w:rsidR="002A576C" w:rsidRPr="00F6055F">
              <w:rPr>
                <w:rFonts w:ascii="Arial" w:eastAsia="Arial Unicode MS" w:hAnsi="Arial" w:cs="Arial"/>
                <w:sz w:val="20"/>
                <w:szCs w:val="20"/>
                <w:lang w:eastAsia="el-GR"/>
              </w:rPr>
              <w:t xml:space="preserve">. Το άρθρο 15 του βασικού νόμου αντικαθίσταται με το ακόλουθο νέο άρθρο 15:-. </w:t>
            </w:r>
          </w:p>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tbl>
            <w:tblPr>
              <w:tblpPr w:leftFromText="180" w:rightFromText="180" w:bottomFromText="160" w:vertAnchor="text" w:tblpX="164" w:tblpY="1"/>
              <w:tblOverlap w:val="never"/>
              <w:tblW w:w="7938" w:type="dxa"/>
              <w:tblLayout w:type="fixed"/>
              <w:tblLook w:val="00A0" w:firstRow="1" w:lastRow="0" w:firstColumn="1" w:lastColumn="0" w:noHBand="0" w:noVBand="0"/>
            </w:tblPr>
            <w:tblGrid>
              <w:gridCol w:w="1985"/>
              <w:gridCol w:w="5953"/>
            </w:tblGrid>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Εναλλακτικές πηγές χρηματοδότησης.</w:t>
                  </w:r>
                </w:p>
              </w:tc>
              <w:tc>
                <w:tcPr>
                  <w:tcW w:w="5953" w:type="dxa"/>
                </w:tcPr>
                <w:p w:rsidR="002A576C" w:rsidRPr="00F6055F" w:rsidRDefault="002A576C" w:rsidP="002A576C">
                  <w:pPr>
                    <w:tabs>
                      <w:tab w:val="left" w:pos="880"/>
                    </w:tabs>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15.(1)(α) Το ΣΕΚ δύναται, για σκοπούς εξασφάλισης βραχυπρόθεσμης χρηματοδότησης προκειμένου να ανταποκριθεί στις απαιτήσεις έναντι αυτού δυνάμει του παρόντος Νόμου, να αντλεί κεφάλαια από εναλλακτικές πηγές χρηματοδότησης υπό τη μορφή:</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8319CC">
                  <w:pPr>
                    <w:tabs>
                      <w:tab w:val="left" w:pos="880"/>
                    </w:tabs>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(i)  </w:t>
                  </w:r>
                  <w:r w:rsidRPr="00F6055F">
                    <w:rPr>
                      <w:rFonts w:ascii="Arial" w:eastAsia="Arial Unicode MS" w:hAnsi="Arial" w:cs="Arial"/>
                      <w:sz w:val="20"/>
                      <w:szCs w:val="20"/>
                      <w:lang w:eastAsia="el-GR"/>
                    </w:rPr>
                    <w:tab/>
                    <w:t>δανείων ή άλλων τύπων στήριξης από ιδρύματα, χρηματοοικονομικά ιδρύματα ή άλλα τρίτα μέρη·</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t>ρευστοποίηση περιουσιακών στοιχείων ή επενδύσεων·</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(β) </w:t>
                  </w:r>
                  <w:r w:rsidRPr="00F6055F">
                    <w:rPr>
                      <w:rFonts w:ascii="Arial" w:hAnsi="Arial" w:cs="Arial"/>
                      <w:sz w:val="20"/>
                      <w:szCs w:val="20"/>
                    </w:rPr>
                    <w:t xml:space="preserve"> </w:t>
                  </w:r>
                  <w:r w:rsidRPr="00F6055F">
                    <w:rPr>
                      <w:rFonts w:ascii="Arial" w:eastAsia="Arial Unicode MS" w:hAnsi="Arial" w:cs="Arial"/>
                      <w:sz w:val="20"/>
                      <w:szCs w:val="20"/>
                      <w:lang w:eastAsia="el-GR"/>
                    </w:rPr>
                    <w:t>Για τη λήψη δανεισμού κατά τα προβλεπόμενα στην παράγραφο (α)</w:t>
                  </w:r>
                  <w:r w:rsidR="000D1CDF" w:rsidRPr="00F6055F">
                    <w:rPr>
                      <w:rFonts w:ascii="Arial" w:eastAsia="Arial Unicode MS" w:hAnsi="Arial" w:cs="Arial"/>
                      <w:sz w:val="20"/>
                      <w:szCs w:val="20"/>
                      <w:lang w:eastAsia="el-GR"/>
                    </w:rPr>
                    <w:t>(</w:t>
                  </w:r>
                  <w:proofErr w:type="spellStart"/>
                  <w:r w:rsidR="000D1CDF" w:rsidRPr="00F6055F">
                    <w:rPr>
                      <w:rFonts w:ascii="Arial" w:eastAsia="Arial Unicode MS" w:hAnsi="Arial" w:cs="Arial"/>
                      <w:sz w:val="20"/>
                      <w:szCs w:val="20"/>
                      <w:lang w:val="en-US" w:eastAsia="el-GR"/>
                    </w:rPr>
                    <w:t>i</w:t>
                  </w:r>
                  <w:proofErr w:type="spellEnd"/>
                  <w:r w:rsidR="000D1CDF" w:rsidRPr="00F6055F">
                    <w:rPr>
                      <w:rFonts w:ascii="Arial" w:eastAsia="Arial Unicode MS" w:hAnsi="Arial" w:cs="Arial"/>
                      <w:sz w:val="20"/>
                      <w:szCs w:val="20"/>
                      <w:lang w:eastAsia="el-GR"/>
                    </w:rPr>
                    <w:t>)</w:t>
                  </w:r>
                  <w:r w:rsidRPr="00F6055F">
                    <w:rPr>
                      <w:rFonts w:ascii="Arial" w:eastAsia="Arial Unicode MS" w:hAnsi="Arial" w:cs="Arial"/>
                      <w:sz w:val="20"/>
                      <w:szCs w:val="20"/>
                      <w:lang w:eastAsia="el-GR"/>
                    </w:rPr>
                    <w:t>, το ΣΕΚ δύναται –</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8319C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val="en-GB" w:eastAsia="el-GR"/>
                    </w:rPr>
                    <w:t>i</w:t>
                  </w:r>
                  <w:proofErr w:type="spellEnd"/>
                  <w:r w:rsidRPr="00F6055F">
                    <w:rPr>
                      <w:rFonts w:ascii="Arial" w:eastAsia="Arial Unicode MS" w:hAnsi="Arial" w:cs="Arial"/>
                      <w:sz w:val="20"/>
                      <w:szCs w:val="20"/>
                      <w:lang w:eastAsia="el-GR"/>
                    </w:rPr>
                    <w:t xml:space="preserve">) </w:t>
                  </w:r>
                  <w:r w:rsidRPr="00F6055F">
                    <w:rPr>
                      <w:rFonts w:ascii="Arial" w:hAnsi="Arial" w:cs="Arial"/>
                      <w:sz w:val="20"/>
                      <w:szCs w:val="20"/>
                    </w:rPr>
                    <w:t xml:space="preserve"> </w:t>
                  </w:r>
                  <w:r w:rsidRPr="00F6055F">
                    <w:rPr>
                      <w:rFonts w:ascii="Arial" w:hAnsi="Arial" w:cs="Arial"/>
                      <w:sz w:val="20"/>
                      <w:szCs w:val="20"/>
                    </w:rPr>
                    <w:tab/>
                  </w:r>
                  <w:r w:rsidRPr="00F6055F">
                    <w:rPr>
                      <w:rFonts w:ascii="Arial" w:eastAsia="Arial Unicode MS" w:hAnsi="Arial" w:cs="Arial"/>
                      <w:sz w:val="20"/>
                      <w:szCs w:val="20"/>
                      <w:lang w:eastAsia="el-GR"/>
                    </w:rPr>
                    <w:t>να απαιτεί την παροχή εγγυήσεων από τα συμμετέχοντα στο Ταμείο Εγγύησης Καταθέσεων ΑΠΙ ή τα συμμετέχοντα στο Ταμείο Εξυγίανσης ιδρύματα, ανάλογα με την περίπτωση·</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t xml:space="preserve">να αναζητεί την παροχή κρατικών εγγυήσεων.   </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C471AB">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(2)(α) </w:t>
                  </w:r>
                  <w:r w:rsidR="00643282" w:rsidRPr="00F6055F">
                    <w:rPr>
                      <w:rFonts w:ascii="Arial" w:eastAsia="Arial Unicode MS" w:hAnsi="Arial" w:cs="Arial"/>
                      <w:sz w:val="20"/>
                      <w:szCs w:val="20"/>
                      <w:lang w:eastAsia="el-GR"/>
                    </w:rPr>
                    <w:t>Τ</w:t>
                  </w:r>
                  <w:r w:rsidRPr="00F6055F">
                    <w:rPr>
                      <w:rFonts w:ascii="Arial" w:eastAsia="Arial Unicode MS" w:hAnsi="Arial" w:cs="Arial"/>
                      <w:sz w:val="20"/>
                      <w:szCs w:val="20"/>
                      <w:lang w:eastAsia="el-GR"/>
                    </w:rPr>
                    <w:t xml:space="preserve">ο ΣΕΚ δύναται, κατόπιν διαβούλευσης με την </w:t>
                  </w:r>
                  <w:r w:rsidR="00C471AB">
                    <w:rPr>
                      <w:rFonts w:ascii="Arial" w:eastAsia="Arial Unicode MS" w:hAnsi="Arial" w:cs="Arial"/>
                      <w:sz w:val="20"/>
                      <w:szCs w:val="20"/>
                      <w:lang w:eastAsia="el-GR"/>
                    </w:rPr>
                    <w:t>Κεντρική Τράπεζα</w:t>
                  </w:r>
                  <w:r w:rsidRPr="00F6055F">
                    <w:rPr>
                      <w:rFonts w:ascii="Arial" w:eastAsia="Arial Unicode MS" w:hAnsi="Arial" w:cs="Arial"/>
                      <w:sz w:val="20"/>
                      <w:szCs w:val="20"/>
                      <w:lang w:eastAsia="el-GR"/>
                    </w:rPr>
                    <w:t>, να απαιτήσει το</w:t>
                  </w:r>
                  <w:r w:rsidR="00643282" w:rsidRPr="00F6055F">
                    <w:rPr>
                      <w:rFonts w:ascii="Arial" w:eastAsia="Arial Unicode MS" w:hAnsi="Arial" w:cs="Arial"/>
                      <w:sz w:val="20"/>
                      <w:szCs w:val="20"/>
                      <w:lang w:eastAsia="el-GR"/>
                    </w:rPr>
                    <w:t>ν</w:t>
                  </w:r>
                  <w:r w:rsidRPr="00F6055F">
                    <w:rPr>
                      <w:rFonts w:ascii="Arial" w:eastAsia="Arial Unicode MS" w:hAnsi="Arial" w:cs="Arial"/>
                      <w:sz w:val="20"/>
                      <w:szCs w:val="20"/>
                      <w:lang w:eastAsia="el-GR"/>
                    </w:rPr>
                    <w:t xml:space="preserve"> δανεισμό των απαιτούμενων κεφαλαίων από τα συμμετέχοντα στο Ταμείο Εγγύησης Καταθέσεων ΑΠΙ ή τα συμμετέχοντα στο Ταμείο Εξυγίανσης ιδρύματα, ανάλογα με την περίπτωση.</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Τα ΑΠΙ ή ιδρύματα, ανάλογα με την περίπτωση, υποχρεούνται να δανείσουν το ΣΕΚ, με όρους και εντός προθεσμίας που καθορίζονται από την Επιτροπή.</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(γ) Τηρουμένων των προνοιών της παραγράφου (ε), το ποσοστό συμμετοχής δανεισμού των απαιτούμενων κεφαλαίων από κάθε ΑΠΙ ή ίδρυμα, ανάλογα με την περίπτωση, καθορίζεται -</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(i)   </w:t>
                  </w:r>
                  <w:r w:rsidRPr="00F6055F">
                    <w:rPr>
                      <w:rFonts w:ascii="Arial" w:eastAsia="Arial Unicode MS" w:hAnsi="Arial" w:cs="Arial"/>
                      <w:sz w:val="20"/>
                      <w:szCs w:val="20"/>
                      <w:lang w:eastAsia="el-GR"/>
                    </w:rPr>
                    <w:tab/>
                    <w:t>στην περίπτωση του Ταμείου Εγγύησης Καταθέσεων, στη βάση του μέσου ποσοστού των καλυπτόμενων καταθέσεών του επί του συνόλου των καλυπτόμενων καταθέσεων των συμμετεχόντων ιδρυμάτων, ανά τρίμηνο του προηγούμενου έτους·</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tabs>
                      <w:tab w:val="left" w:pos="460"/>
                    </w:tabs>
                    <w:spacing w:after="0" w:line="240" w:lineRule="auto"/>
                    <w:ind w:left="460" w:hanging="460"/>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ii</w:t>
                  </w:r>
                  <w:proofErr w:type="spellEnd"/>
                  <w:r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ab/>
                    <w:t>στην περίπτωση του Ταμείου Εξυγίανσης, στη βάση του μέσου ποσοστού των υποχρεώσεών του (εξαιρουμένων των ιδίων κεφαλαίων) επί του συνόλου των υποχρεώσεων (εξαιρουμένων των ιδίων κεφαλαίων) των συμμετεχόντων ιδρυμάτων, ανά τρίμηνο του προηγούμενου έτους.</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83464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(δ) Το ΣΕΚ, κατόπιν σχετικής ενημέρωσης από την </w:t>
                  </w:r>
                  <w:r w:rsidR="00C471AB">
                    <w:rPr>
                      <w:rFonts w:ascii="Arial" w:eastAsia="Arial Unicode MS" w:hAnsi="Arial" w:cs="Arial"/>
                      <w:sz w:val="20"/>
                      <w:szCs w:val="20"/>
                      <w:lang w:eastAsia="el-GR"/>
                    </w:rPr>
                    <w:t>Κεντρική Τράπεζα</w:t>
                  </w:r>
                  <w:r w:rsidRPr="00F6055F">
                    <w:rPr>
                      <w:rFonts w:ascii="Arial" w:eastAsia="Arial Unicode MS" w:hAnsi="Arial" w:cs="Arial"/>
                      <w:sz w:val="20"/>
                      <w:szCs w:val="20"/>
                      <w:lang w:eastAsia="el-GR"/>
                    </w:rPr>
                    <w:t xml:space="preserve"> κατά τη διαβούλευση που προβλέπεται στην παράγραφο (α), δύναται να χορηγήσει σε ΑΠΙ ή ίδρυμα, ανάλογα με την περίπτωση, συνολική ή μερική απαλλαγή από την υποχρέωση χορήγησης δανείου στο ΣΕΚ αν το δάνειο θα έθετε σε κίνδυνο τη ρευστότητα ή τη φερεγγυότητα του εν λόγω ΑΠΙ ή ιδρύματος. Η απαλλαγή δεν χορηγείται για περίοδο μεγαλύτερη των έξι (6) μηνών, αλλά δύναται να ανανεώνεται, κατόπιν αιτήματος του εν λόγω ΑΠΙ ή ιδρύματος και τη λήψη σχετικής έγκρισης από την </w:t>
                  </w:r>
                  <w:r w:rsidR="00C471AB">
                    <w:rPr>
                      <w:rFonts w:ascii="Arial" w:eastAsia="Arial Unicode MS" w:hAnsi="Arial" w:cs="Arial"/>
                      <w:sz w:val="20"/>
                      <w:szCs w:val="20"/>
                      <w:lang w:eastAsia="el-GR"/>
                    </w:rPr>
                    <w:t>Κεντρική Τράπεζα</w:t>
                  </w:r>
                  <w:r w:rsidRPr="00F6055F">
                    <w:rPr>
                      <w:rFonts w:ascii="Arial" w:eastAsia="Arial Unicode MS" w:hAnsi="Arial" w:cs="Arial"/>
                      <w:sz w:val="20"/>
                      <w:szCs w:val="20"/>
                      <w:lang w:eastAsia="el-GR"/>
                    </w:rPr>
                    <w:t xml:space="preserve">. Το εν λόγω ΑΠΙ ή ίδρυμα και η </w:t>
                  </w:r>
                  <w:r w:rsidR="00C471AB">
                    <w:rPr>
                      <w:rFonts w:ascii="Arial" w:eastAsia="Arial Unicode MS" w:hAnsi="Arial" w:cs="Arial"/>
                      <w:sz w:val="20"/>
                      <w:szCs w:val="20"/>
                      <w:lang w:eastAsia="el-GR"/>
                    </w:rPr>
                    <w:t>Κεντρική Τράπεζα</w:t>
                  </w:r>
                  <w:r w:rsidRPr="00F6055F">
                    <w:rPr>
                      <w:rFonts w:ascii="Arial" w:eastAsia="Arial Unicode MS" w:hAnsi="Arial" w:cs="Arial"/>
                      <w:sz w:val="20"/>
                      <w:szCs w:val="20"/>
                      <w:lang w:eastAsia="el-GR"/>
                    </w:rPr>
                    <w:t xml:space="preserve"> ενημερώνουν άμεσα το ΣΕΚ όταν πάψουν να ισχύουν οι λόγοι που οδήγησαν στην απαλλαγή της καταβολής του δανείου.</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(ε) Σε περίπτωση που χορηγηθεί σε ΑΠΙ ή ίδρυμα απαλλαγή σύμφωνα με την παράγραφο (δ), το ποσό του δανείου που αναλογεί δυνάμει της παραγράφου (γ) στο εν λόγω ΑΠΙ ή ίδρυμα κατανέμεται από την Επιτροπή στα υπόλοιπα ΑΠΙ που συμμετέχουν στο Ταμείο Εγγύησης Καταθέσεων ή ιδρύματα που συμμετέχουν στο Ταμείο Εξυγίανσης, ανάλογα με την περίπτωση. Το ποσοστό συμμετοχής κάθε ιδρύματος στο εν λόγω δάνειο υπολογίζεται κατά τον τρόπο που καθορίζεται στην παράγραφο (γ), χωρίς να λαμβάνονται υπόψη οι καλυπτόμενες καταθέσεις ή οι υποχρεώσεις (εξαιρουμένων των ιδίων κεφαλαίων), ανάλογα με την περίπτωση, του ιδρύματος που απαλλάσσεται.   </w:t>
                  </w: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1F3EE7">
              <w:tc>
                <w:tcPr>
                  <w:tcW w:w="1985"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c>
                <w:tcPr>
                  <w:tcW w:w="5953" w:type="dxa"/>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proofErr w:type="spellStart"/>
                  <w:r w:rsidRPr="00F6055F">
                    <w:rPr>
                      <w:rFonts w:ascii="Arial" w:eastAsia="Arial Unicode MS" w:hAnsi="Arial" w:cs="Arial"/>
                      <w:sz w:val="20"/>
                      <w:szCs w:val="20"/>
                      <w:lang w:eastAsia="el-GR"/>
                    </w:rPr>
                    <w:t>στ</w:t>
                  </w:r>
                  <w:proofErr w:type="spellEnd"/>
                  <w:r w:rsidRPr="00F6055F">
                    <w:rPr>
                      <w:rFonts w:ascii="Arial" w:eastAsia="Arial Unicode MS" w:hAnsi="Arial" w:cs="Arial"/>
                      <w:sz w:val="20"/>
                      <w:szCs w:val="20"/>
                      <w:lang w:eastAsia="el-GR"/>
                    </w:rPr>
                    <w:t xml:space="preserve">) Το ΣΕΚ δύναται να απαιτεί την καταβολή της </w:t>
                  </w:r>
                  <w:proofErr w:type="spellStart"/>
                  <w:r w:rsidRPr="00F6055F">
                    <w:rPr>
                      <w:rFonts w:ascii="Arial" w:eastAsia="Arial Unicode MS" w:hAnsi="Arial" w:cs="Arial"/>
                      <w:sz w:val="20"/>
                      <w:szCs w:val="20"/>
                      <w:lang w:eastAsia="el-GR"/>
                    </w:rPr>
                    <w:t>απαλλαχθείσας</w:t>
                  </w:r>
                  <w:proofErr w:type="spellEnd"/>
                  <w:r w:rsidRPr="00F6055F">
                    <w:rPr>
                      <w:rFonts w:ascii="Arial" w:eastAsia="Arial Unicode MS" w:hAnsi="Arial" w:cs="Arial"/>
                      <w:sz w:val="20"/>
                      <w:szCs w:val="20"/>
                      <w:lang w:eastAsia="el-GR"/>
                    </w:rPr>
                    <w:t xml:space="preserve"> δυνάμει της παραγράφου (δ) υποχρέωσης για χορήγηση δανείου όταν ο δανεισμός δεν θέτει πλέον σε κίνδυνο τη ρευστότητα ή τη φερεγγυότητα του εν λόγω </w:t>
                  </w:r>
                  <w:r w:rsidR="001034F0" w:rsidRPr="00F6055F">
                    <w:rPr>
                      <w:rFonts w:ascii="Arial" w:eastAsia="Arial Unicode MS" w:hAnsi="Arial" w:cs="Arial"/>
                      <w:sz w:val="20"/>
                      <w:szCs w:val="20"/>
                      <w:lang w:eastAsia="el-GR"/>
                    </w:rPr>
                    <w:t>Α</w:t>
                  </w:r>
                  <w:r w:rsidRPr="00F6055F">
                    <w:rPr>
                      <w:rFonts w:ascii="Arial" w:eastAsia="Arial Unicode MS" w:hAnsi="Arial" w:cs="Arial"/>
                      <w:sz w:val="20"/>
                      <w:szCs w:val="20"/>
                      <w:lang w:eastAsia="el-GR"/>
                    </w:rPr>
                    <w:t>ΠΙ ή ιδρύματος. Σε τέτοια περίπτωση, η Επιτροπή</w:t>
                  </w:r>
                  <w:r w:rsidR="001034F0" w:rsidRPr="00F6055F">
                    <w:rPr>
                      <w:rFonts w:ascii="Arial" w:eastAsia="Arial Unicode MS" w:hAnsi="Arial" w:cs="Arial"/>
                      <w:sz w:val="20"/>
                      <w:szCs w:val="20"/>
                      <w:lang w:eastAsia="el-GR"/>
                    </w:rPr>
                    <w:t xml:space="preserve"> αφότου λάβει το ποσό του δανείου από το </w:t>
                  </w:r>
                  <w:r w:rsidR="003A21BB" w:rsidRPr="00F6055F">
                    <w:rPr>
                      <w:rFonts w:ascii="Arial" w:eastAsia="Arial Unicode MS" w:hAnsi="Arial" w:cs="Arial"/>
                      <w:sz w:val="20"/>
                      <w:szCs w:val="20"/>
                      <w:lang w:eastAsia="el-GR"/>
                    </w:rPr>
                    <w:t xml:space="preserve">εν λόγω </w:t>
                  </w:r>
                  <w:r w:rsidR="001034F0" w:rsidRPr="00F6055F">
                    <w:rPr>
                      <w:rFonts w:ascii="Arial" w:eastAsia="Arial Unicode MS" w:hAnsi="Arial" w:cs="Arial"/>
                      <w:sz w:val="20"/>
                      <w:szCs w:val="20"/>
                      <w:lang w:eastAsia="el-GR"/>
                    </w:rPr>
                    <w:t>ΑΠΙ</w:t>
                  </w:r>
                  <w:r w:rsidRPr="00F6055F">
                    <w:rPr>
                      <w:rFonts w:ascii="Arial" w:eastAsia="Arial Unicode MS" w:hAnsi="Arial" w:cs="Arial"/>
                      <w:sz w:val="20"/>
                      <w:szCs w:val="20"/>
                      <w:lang w:eastAsia="el-GR"/>
                    </w:rPr>
                    <w:t xml:space="preserve"> </w:t>
                  </w:r>
                  <w:r w:rsidR="00834640" w:rsidRPr="00F6055F">
                    <w:rPr>
                      <w:rFonts w:ascii="Arial" w:eastAsia="Arial Unicode MS" w:hAnsi="Arial" w:cs="Arial"/>
                      <w:sz w:val="20"/>
                      <w:szCs w:val="20"/>
                      <w:lang w:eastAsia="el-GR"/>
                    </w:rPr>
                    <w:t xml:space="preserve">ή ίδρυμα </w:t>
                  </w:r>
                  <w:r w:rsidRPr="00F6055F">
                    <w:rPr>
                      <w:rFonts w:ascii="Arial" w:eastAsia="Arial Unicode MS" w:hAnsi="Arial" w:cs="Arial"/>
                      <w:sz w:val="20"/>
                      <w:szCs w:val="20"/>
                      <w:lang w:eastAsia="el-GR"/>
                    </w:rPr>
                    <w:t xml:space="preserve">επιστρέφει άμεσα στα υπόλοιπα ΑΠΙ ή ιδρύματα, ανάλογα με την περίπτωση, το επιπρόσθετο ποσό που έχουν καταβάλει δυνάμει της παραγράφου (ε).       </w:t>
                  </w:r>
                </w:p>
              </w:tc>
            </w:tr>
          </w:tbl>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2A576C" w:rsidRPr="00F6055F" w:rsidRDefault="002A576C" w:rsidP="002A576C">
            <w:pPr>
              <w:spacing w:after="0" w:line="240" w:lineRule="auto"/>
              <w:contextualSpacing/>
              <w:mirrorIndents/>
              <w:rPr>
                <w:rFonts w:ascii="Arial" w:eastAsia="Arial Unicode MS" w:hAnsi="Arial" w:cs="Arial"/>
                <w:sz w:val="20"/>
                <w:szCs w:val="20"/>
                <w:lang w:eastAsia="el-GR"/>
              </w:rPr>
            </w:pPr>
          </w:p>
        </w:tc>
        <w:tc>
          <w:tcPr>
            <w:tcW w:w="8079" w:type="dxa"/>
            <w:gridSpan w:val="6"/>
          </w:tcPr>
          <w:p w:rsidR="002A576C" w:rsidRPr="00F6055F" w:rsidRDefault="002A576C" w:rsidP="002A576C">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7D2DC5" w:rsidRPr="00F6055F" w:rsidRDefault="007D2DC5" w:rsidP="007D2DC5">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Τροποποίηση του άρθρου 19 του βασικού νόμου</w:t>
            </w:r>
          </w:p>
        </w:tc>
        <w:tc>
          <w:tcPr>
            <w:tcW w:w="8079" w:type="dxa"/>
            <w:gridSpan w:val="6"/>
          </w:tcPr>
          <w:p w:rsidR="007D2DC5" w:rsidRPr="00F6055F" w:rsidRDefault="00C56E23" w:rsidP="007D2DC5">
            <w:pPr>
              <w:spacing w:after="0" w:line="240" w:lineRule="auto"/>
              <w:contextualSpacing/>
              <w:mirrorIndents/>
              <w:jc w:val="both"/>
              <w:rPr>
                <w:rFonts w:ascii="Arial" w:hAnsi="Arial" w:cs="Arial"/>
                <w:sz w:val="20"/>
                <w:szCs w:val="20"/>
              </w:rPr>
            </w:pPr>
            <w:r>
              <w:rPr>
                <w:rFonts w:ascii="Arial" w:eastAsia="Arial Unicode MS" w:hAnsi="Arial" w:cs="Arial"/>
                <w:sz w:val="20"/>
                <w:szCs w:val="20"/>
                <w:lang w:eastAsia="el-GR"/>
              </w:rPr>
              <w:t>10</w:t>
            </w:r>
            <w:r w:rsidR="007D2DC5" w:rsidRPr="00F6055F">
              <w:rPr>
                <w:rFonts w:ascii="Arial" w:eastAsia="Arial Unicode MS" w:hAnsi="Arial" w:cs="Arial"/>
                <w:sz w:val="20"/>
                <w:szCs w:val="20"/>
                <w:lang w:eastAsia="el-GR"/>
              </w:rPr>
              <w:t>. Το άρθρο 19 του βασικού νόμου τροποποιείται</w:t>
            </w:r>
            <w:r w:rsidR="007D2DC5" w:rsidRPr="00F6055F">
              <w:rPr>
                <w:rFonts w:ascii="Arial" w:hAnsi="Arial" w:cs="Arial"/>
                <w:sz w:val="20"/>
                <w:szCs w:val="20"/>
              </w:rPr>
              <w:t xml:space="preserve"> </w:t>
            </w:r>
            <w:r w:rsidR="00103F5D" w:rsidRPr="00F6055F">
              <w:rPr>
                <w:rFonts w:ascii="Arial" w:hAnsi="Arial" w:cs="Arial"/>
                <w:sz w:val="20"/>
                <w:szCs w:val="20"/>
              </w:rPr>
              <w:t>ως ακολούθως:</w:t>
            </w:r>
          </w:p>
        </w:tc>
      </w:tr>
      <w:tr w:rsidR="00F6055F" w:rsidRPr="00F6055F" w:rsidTr="00A54882">
        <w:tc>
          <w:tcPr>
            <w:tcW w:w="1668" w:type="dxa"/>
          </w:tcPr>
          <w:p w:rsidR="007D2DC5" w:rsidRPr="00F6055F" w:rsidRDefault="007D2DC5" w:rsidP="007D2DC5">
            <w:pPr>
              <w:spacing w:after="0" w:line="240" w:lineRule="auto"/>
              <w:contextualSpacing/>
              <w:mirrorIndents/>
              <w:rPr>
                <w:rFonts w:ascii="Arial" w:eastAsia="Arial Unicode MS" w:hAnsi="Arial" w:cs="Arial"/>
                <w:sz w:val="20"/>
                <w:szCs w:val="20"/>
                <w:lang w:eastAsia="el-GR"/>
              </w:rPr>
            </w:pPr>
          </w:p>
        </w:tc>
        <w:tc>
          <w:tcPr>
            <w:tcW w:w="8079" w:type="dxa"/>
            <w:gridSpan w:val="6"/>
          </w:tcPr>
          <w:p w:rsidR="007D2DC5" w:rsidRPr="00F6055F" w:rsidRDefault="007D2DC5" w:rsidP="007D2DC5">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4B2816" w:rsidRPr="00F6055F" w:rsidRDefault="00D620ED" w:rsidP="00F80C4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(α) </w:t>
            </w:r>
            <w:r w:rsidR="004B2816" w:rsidRPr="00F6055F">
              <w:rPr>
                <w:rFonts w:ascii="Arial" w:eastAsia="Arial Unicode MS" w:hAnsi="Arial" w:cs="Arial"/>
                <w:sz w:val="20"/>
                <w:szCs w:val="20"/>
                <w:lang w:eastAsia="el-GR"/>
              </w:rPr>
              <w:t>(</w:t>
            </w:r>
            <w:proofErr w:type="spellStart"/>
            <w:r w:rsidR="004B2816" w:rsidRPr="00F6055F">
              <w:rPr>
                <w:rFonts w:ascii="Arial" w:eastAsia="Arial Unicode MS" w:hAnsi="Arial" w:cs="Arial"/>
                <w:sz w:val="20"/>
                <w:szCs w:val="20"/>
                <w:lang w:val="en-GB" w:eastAsia="el-GR"/>
              </w:rPr>
              <w:t>i</w:t>
            </w:r>
            <w:proofErr w:type="spellEnd"/>
            <w:r w:rsidR="004B2816" w:rsidRPr="00F6055F">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 xml:space="preserve">με τη </w:t>
            </w:r>
            <w:r w:rsidR="003072FC" w:rsidRPr="00F6055F">
              <w:rPr>
                <w:rFonts w:ascii="Arial" w:eastAsia="Arial Unicode MS" w:hAnsi="Arial" w:cs="Arial"/>
                <w:sz w:val="20"/>
                <w:szCs w:val="20"/>
                <w:lang w:eastAsia="el-GR"/>
              </w:rPr>
              <w:t>διαγρα</w:t>
            </w:r>
            <w:r w:rsidR="00106B1C" w:rsidRPr="00F6055F">
              <w:rPr>
                <w:rFonts w:ascii="Arial" w:eastAsia="Arial Unicode MS" w:hAnsi="Arial" w:cs="Arial"/>
                <w:sz w:val="20"/>
                <w:szCs w:val="20"/>
                <w:lang w:eastAsia="el-GR"/>
              </w:rPr>
              <w:t>φή</w:t>
            </w:r>
            <w:r w:rsidRPr="00F6055F">
              <w:rPr>
                <w:rFonts w:ascii="Arial" w:eastAsia="Arial Unicode MS" w:hAnsi="Arial" w:cs="Arial"/>
                <w:sz w:val="20"/>
                <w:szCs w:val="20"/>
                <w:lang w:eastAsia="el-GR"/>
              </w:rPr>
              <w:t xml:space="preserve"> στο εδάφιο (2) αυτού της </w:t>
            </w:r>
            <w:r w:rsidR="00106B1C" w:rsidRPr="00F6055F">
              <w:rPr>
                <w:rFonts w:ascii="Arial" w:eastAsia="Arial Unicode MS" w:hAnsi="Arial" w:cs="Arial"/>
                <w:sz w:val="20"/>
                <w:szCs w:val="20"/>
                <w:lang w:eastAsia="el-GR"/>
              </w:rPr>
              <w:t>λέξης</w:t>
            </w:r>
            <w:r w:rsidRPr="00F6055F">
              <w:rPr>
                <w:rFonts w:ascii="Arial" w:eastAsia="Arial Unicode MS" w:hAnsi="Arial" w:cs="Arial"/>
                <w:sz w:val="20"/>
                <w:szCs w:val="20"/>
                <w:lang w:eastAsia="el-GR"/>
              </w:rPr>
              <w:t xml:space="preserve"> «πιστωτικά» (πρώτη γραμμή) </w:t>
            </w:r>
            <w:r w:rsidR="00106B1C" w:rsidRPr="00F6055F">
              <w:rPr>
                <w:rFonts w:ascii="Arial" w:eastAsia="Arial Unicode MS" w:hAnsi="Arial" w:cs="Arial"/>
                <w:sz w:val="20"/>
                <w:szCs w:val="20"/>
                <w:lang w:eastAsia="el-GR"/>
              </w:rPr>
              <w:t xml:space="preserve"> και </w:t>
            </w:r>
          </w:p>
          <w:p w:rsidR="00D620ED" w:rsidRPr="00F6055F" w:rsidRDefault="004B2816" w:rsidP="00F80C46">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ii</w:t>
            </w:r>
            <w:r w:rsidRPr="00F6055F">
              <w:rPr>
                <w:rFonts w:ascii="Arial" w:eastAsia="Arial Unicode MS" w:hAnsi="Arial" w:cs="Arial"/>
                <w:sz w:val="20"/>
                <w:szCs w:val="20"/>
                <w:lang w:eastAsia="el-GR"/>
              </w:rPr>
              <w:t>) με τ</w:t>
            </w:r>
            <w:r w:rsidR="00106B1C" w:rsidRPr="00F6055F">
              <w:rPr>
                <w:rFonts w:ascii="Arial" w:eastAsia="Arial Unicode MS" w:hAnsi="Arial" w:cs="Arial"/>
                <w:sz w:val="20"/>
                <w:szCs w:val="20"/>
                <w:lang w:eastAsia="el-GR"/>
              </w:rPr>
              <w:t xml:space="preserve">ην αντικατάσταση </w:t>
            </w:r>
            <w:r w:rsidRPr="00F6055F">
              <w:rPr>
                <w:rFonts w:ascii="Arial" w:eastAsia="Arial Unicode MS" w:hAnsi="Arial" w:cs="Arial"/>
                <w:sz w:val="20"/>
                <w:szCs w:val="20"/>
                <w:lang w:eastAsia="el-GR"/>
              </w:rPr>
              <w:t xml:space="preserve"> στο εδάφιο (2) αυτού </w:t>
            </w:r>
            <w:r w:rsidR="00106B1C" w:rsidRPr="00F6055F">
              <w:rPr>
                <w:rFonts w:ascii="Arial" w:eastAsia="Arial Unicode MS" w:hAnsi="Arial" w:cs="Arial"/>
                <w:sz w:val="20"/>
                <w:szCs w:val="20"/>
                <w:lang w:eastAsia="el-GR"/>
              </w:rPr>
              <w:t>της φράσης «της Κεντρικής Τράπεζας, τηρουμένων των διατάξεων του περί της Κεντρικής Τράπεζας της Κύπρου Νόμου</w:t>
            </w:r>
            <w:r w:rsidR="001D0310" w:rsidRPr="00F6055F">
              <w:rPr>
                <w:rFonts w:ascii="Arial" w:eastAsia="Arial Unicode MS" w:hAnsi="Arial" w:cs="Arial"/>
                <w:sz w:val="20"/>
                <w:szCs w:val="20"/>
                <w:lang w:eastAsia="el-GR"/>
              </w:rPr>
              <w:t>, όπως διορθώθηκε και του περί Εργασιών Πιστωτικών Ιδρυμάτων Νόμου</w:t>
            </w:r>
            <w:r w:rsidR="00106B1C" w:rsidRPr="00F6055F">
              <w:rPr>
                <w:rFonts w:ascii="Arial" w:eastAsia="Arial Unicode MS" w:hAnsi="Arial" w:cs="Arial"/>
                <w:sz w:val="20"/>
                <w:szCs w:val="20"/>
                <w:lang w:eastAsia="el-GR"/>
              </w:rPr>
              <w:t>» με την ακόλουθη φράση «αρμόδια</w:t>
            </w:r>
            <w:r w:rsidR="001D0310" w:rsidRPr="00F6055F">
              <w:rPr>
                <w:rFonts w:ascii="Arial" w:eastAsia="Arial Unicode MS" w:hAnsi="Arial" w:cs="Arial"/>
                <w:sz w:val="20"/>
                <w:szCs w:val="20"/>
                <w:lang w:eastAsia="el-GR"/>
              </w:rPr>
              <w:t>ς</w:t>
            </w:r>
            <w:r w:rsidR="00106B1C" w:rsidRPr="00F6055F">
              <w:rPr>
                <w:rFonts w:ascii="Arial" w:eastAsia="Arial Unicode MS" w:hAnsi="Arial" w:cs="Arial"/>
                <w:sz w:val="20"/>
                <w:szCs w:val="20"/>
                <w:lang w:eastAsia="el-GR"/>
              </w:rPr>
              <w:t xml:space="preserve"> αρχή</w:t>
            </w:r>
            <w:r w:rsidR="001D0310" w:rsidRPr="00F6055F">
              <w:rPr>
                <w:rFonts w:ascii="Arial" w:eastAsia="Arial Unicode MS" w:hAnsi="Arial" w:cs="Arial"/>
                <w:sz w:val="20"/>
                <w:szCs w:val="20"/>
                <w:lang w:eastAsia="el-GR"/>
              </w:rPr>
              <w:t>ς</w:t>
            </w:r>
            <w:r w:rsidR="00106B1C" w:rsidRPr="00F6055F">
              <w:rPr>
                <w:rFonts w:ascii="Arial" w:eastAsia="Arial Unicode MS" w:hAnsi="Arial" w:cs="Arial"/>
                <w:sz w:val="20"/>
                <w:szCs w:val="20"/>
                <w:lang w:eastAsia="el-GR"/>
              </w:rPr>
              <w:t xml:space="preserve"> τηρουμένων των διατάξεων των οικείων νομοθεσιών».</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83464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με τ</w:t>
            </w:r>
            <w:r w:rsidR="00106B1C" w:rsidRPr="00F6055F">
              <w:rPr>
                <w:rFonts w:ascii="Arial" w:eastAsia="Arial Unicode MS" w:hAnsi="Arial" w:cs="Arial"/>
                <w:sz w:val="20"/>
                <w:szCs w:val="20"/>
                <w:lang w:eastAsia="el-GR"/>
              </w:rPr>
              <w:t xml:space="preserve">η διαγραφή </w:t>
            </w:r>
            <w:r w:rsidRPr="00F6055F">
              <w:rPr>
                <w:rFonts w:ascii="Arial" w:eastAsia="Arial Unicode MS" w:hAnsi="Arial" w:cs="Arial"/>
                <w:sz w:val="20"/>
                <w:szCs w:val="20"/>
                <w:lang w:eastAsia="el-GR"/>
              </w:rPr>
              <w:t xml:space="preserve">στην επιφύλαξη του εδαφίου (2) αυτού της </w:t>
            </w:r>
            <w:r w:rsidR="00106B1C" w:rsidRPr="00F6055F">
              <w:rPr>
                <w:rFonts w:ascii="Arial" w:eastAsia="Arial Unicode MS" w:hAnsi="Arial" w:cs="Arial"/>
                <w:sz w:val="20"/>
                <w:szCs w:val="20"/>
                <w:lang w:eastAsia="el-GR"/>
              </w:rPr>
              <w:t>λέξης</w:t>
            </w:r>
            <w:r w:rsidRPr="00F6055F">
              <w:rPr>
                <w:rFonts w:ascii="Arial" w:eastAsia="Arial Unicode MS" w:hAnsi="Arial" w:cs="Arial"/>
                <w:sz w:val="20"/>
                <w:szCs w:val="20"/>
                <w:lang w:eastAsia="el-GR"/>
              </w:rPr>
              <w:t xml:space="preserve"> «πιστωτικό» (πρώτη γραμμή) </w:t>
            </w:r>
            <w:r w:rsidR="00834640" w:rsidRPr="00F6055F">
              <w:rPr>
                <w:rFonts w:ascii="Arial" w:eastAsia="Arial Unicode MS" w:hAnsi="Arial" w:cs="Arial"/>
                <w:sz w:val="20"/>
                <w:szCs w:val="20"/>
                <w:lang w:eastAsia="el-GR"/>
              </w:rPr>
              <w:t>και με την αντικατάσταση της φράσης «Κεντρική Τράπεζα» με την φράση «αρμόδια αρχή.</w:t>
            </w:r>
            <w:r w:rsidRPr="00F6055F">
              <w:rPr>
                <w:rFonts w:ascii="Arial" w:eastAsia="Arial Unicode MS" w:hAnsi="Arial" w:cs="Arial"/>
                <w:sz w:val="20"/>
                <w:szCs w:val="20"/>
                <w:lang w:eastAsia="el-GR"/>
              </w:rPr>
              <w:t xml:space="preserve">   </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F34C02">
            <w:pPr>
              <w:spacing w:after="0" w:line="240" w:lineRule="auto"/>
              <w:contextualSpacing/>
              <w:mirrorIndents/>
              <w:jc w:val="both"/>
              <w:rPr>
                <w:rFonts w:ascii="Arial" w:eastAsia="Arial Unicode MS" w:hAnsi="Arial" w:cs="Arial"/>
                <w:sz w:val="20"/>
                <w:szCs w:val="20"/>
                <w:lang w:eastAsia="el-GR"/>
              </w:rPr>
            </w:pPr>
            <w:r w:rsidRPr="00F6055F">
              <w:rPr>
                <w:rFonts w:ascii="Arial" w:hAnsi="Arial" w:cs="Arial"/>
                <w:sz w:val="20"/>
                <w:szCs w:val="20"/>
              </w:rPr>
              <w:t>(γ) μ</w:t>
            </w:r>
            <w:r w:rsidRPr="00F6055F">
              <w:rPr>
                <w:rFonts w:ascii="Arial" w:eastAsia="Arial Unicode MS" w:hAnsi="Arial" w:cs="Arial"/>
                <w:sz w:val="20"/>
                <w:szCs w:val="20"/>
                <w:lang w:eastAsia="el-GR"/>
              </w:rPr>
              <w:t>ε την αντικατάσταση στο εδάφιο (4) αυτού της λέξης «σοβαρής» (</w:t>
            </w:r>
            <w:r w:rsidR="00F50EE0" w:rsidRPr="00F6055F">
              <w:rPr>
                <w:rFonts w:ascii="Arial" w:eastAsia="Arial Unicode MS" w:hAnsi="Arial" w:cs="Arial"/>
                <w:sz w:val="20"/>
                <w:szCs w:val="20"/>
                <w:lang w:eastAsia="el-GR"/>
              </w:rPr>
              <w:t>έκτη</w:t>
            </w:r>
            <w:r w:rsidRPr="00F6055F">
              <w:rPr>
                <w:rFonts w:ascii="Arial" w:eastAsia="Arial Unicode MS" w:hAnsi="Arial" w:cs="Arial"/>
                <w:sz w:val="20"/>
                <w:szCs w:val="20"/>
                <w:lang w:eastAsia="el-GR"/>
              </w:rPr>
              <w:t xml:space="preserve"> γραμμή) με τη λέξη «βαριάς».</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(δ)</w:t>
            </w:r>
            <w:r w:rsidRPr="00F6055F">
              <w:rPr>
                <w:rFonts w:ascii="Arial" w:hAnsi="Arial" w:cs="Arial"/>
                <w:sz w:val="20"/>
                <w:szCs w:val="20"/>
              </w:rPr>
              <w:t xml:space="preserve"> με την αντικατάσταση στο εδάφιο </w:t>
            </w:r>
            <w:r w:rsidRPr="00F6055F">
              <w:rPr>
                <w:rFonts w:ascii="Arial" w:eastAsia="Arial Unicode MS" w:hAnsi="Arial" w:cs="Arial"/>
                <w:sz w:val="20"/>
                <w:szCs w:val="20"/>
                <w:lang w:eastAsia="el-GR"/>
              </w:rPr>
              <w:t>(5) παράγραφος (α) αυτού της φράσης «πιστωτικό ίδρυμα» (πέμπτη γραμμή) από τη φράση «ΑΠΙ ή/και άλλο ίδρυμα»</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20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w:t>
            </w:r>
            <w:r w:rsidR="00C56E23">
              <w:rPr>
                <w:rFonts w:ascii="Arial" w:eastAsia="Arial Unicode MS" w:hAnsi="Arial" w:cs="Arial"/>
                <w:sz w:val="20"/>
                <w:szCs w:val="20"/>
                <w:lang w:eastAsia="el-GR"/>
              </w:rPr>
              <w:t>1</w:t>
            </w:r>
            <w:r w:rsidRPr="00F6055F">
              <w:rPr>
                <w:rFonts w:ascii="Arial" w:eastAsia="Arial Unicode MS" w:hAnsi="Arial" w:cs="Arial"/>
                <w:sz w:val="20"/>
                <w:szCs w:val="20"/>
                <w:lang w:eastAsia="el-GR"/>
              </w:rPr>
              <w:t xml:space="preserve">. </w:t>
            </w:r>
            <w:r w:rsidRPr="00F6055F">
              <w:rPr>
                <w:rFonts w:ascii="Arial" w:eastAsia="MS Mincho" w:hAnsi="Arial" w:cs="Arial"/>
                <w:sz w:val="20"/>
                <w:szCs w:val="20"/>
              </w:rPr>
              <w:t xml:space="preserve"> </w:t>
            </w:r>
            <w:r w:rsidRPr="00F6055F">
              <w:rPr>
                <w:rFonts w:ascii="Arial" w:eastAsia="Arial Unicode MS" w:hAnsi="Arial" w:cs="Arial"/>
                <w:sz w:val="20"/>
                <w:szCs w:val="20"/>
                <w:lang w:eastAsia="el-GR"/>
              </w:rPr>
              <w:t xml:space="preserve">Το άρθρο 20 του βασικού νόμου αντικαθίσταται με το ακόλουθο νέο άρθρο:  </w:t>
            </w: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jc w:val="right"/>
              <w:rPr>
                <w:rFonts w:ascii="Arial" w:eastAsia="Arial Unicode MS" w:hAnsi="Arial" w:cs="Arial"/>
                <w:sz w:val="20"/>
                <w:szCs w:val="20"/>
                <w:lang w:eastAsia="el-GR"/>
              </w:rPr>
            </w:pPr>
            <w:r w:rsidRPr="00F6055F">
              <w:rPr>
                <w:rFonts w:ascii="Arial" w:eastAsia="Arial Unicode MS" w:hAnsi="Arial" w:cs="Arial"/>
                <w:sz w:val="20"/>
                <w:szCs w:val="20"/>
                <w:lang w:eastAsia="el-GR"/>
              </w:rPr>
              <w:t>166(Ι) του 2003 34(Ι) του 2007 86(Ι) του 2013 103(I) του 2013 66(Ι) του 2014 139(Ι) του 2014 144(Ι) του 2014 107(Ι) του 2016 170(Ι) του 2017.</w:t>
            </w:r>
          </w:p>
        </w:tc>
        <w:tc>
          <w:tcPr>
            <w:tcW w:w="2268" w:type="dxa"/>
            <w:gridSpan w:val="5"/>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hAnsi="Arial" w:cs="Arial"/>
                <w:sz w:val="20"/>
                <w:szCs w:val="20"/>
              </w:rPr>
              <w:t>Στελέχωση ΣΕΚ.</w:t>
            </w:r>
          </w:p>
        </w:tc>
        <w:tc>
          <w:tcPr>
            <w:tcW w:w="5811" w:type="dxa"/>
          </w:tcPr>
          <w:p w:rsidR="00D620ED" w:rsidRPr="00F6055F" w:rsidRDefault="00D620ED" w:rsidP="00027BAB">
            <w:pPr>
              <w:spacing w:after="0" w:line="240" w:lineRule="auto"/>
              <w:contextualSpacing/>
              <w:mirrorIndents/>
              <w:jc w:val="both"/>
              <w:rPr>
                <w:rFonts w:ascii="Arial" w:eastAsia="Times New Roman" w:hAnsi="Arial" w:cs="Arial"/>
                <w:sz w:val="20"/>
                <w:szCs w:val="20"/>
              </w:rPr>
            </w:pPr>
            <w:r w:rsidRPr="00F6055F">
              <w:rPr>
                <w:rFonts w:ascii="Arial" w:eastAsia="Times New Roman" w:hAnsi="Arial" w:cs="Arial"/>
                <w:sz w:val="20"/>
                <w:szCs w:val="20"/>
              </w:rPr>
              <w:t xml:space="preserve">20.- (1) Τηρουμένων των διατάξεων του περί Κεντρικής Τράπεζας της Κύπρου Νόμου,   η Κεντρική Τράπεζα  παρέχει γραμματειακή, τεχνική και διοικητική υποστήριξη στο ΣΕΚ, και προς τούτο διαθέτει επαρκείς ανθρώπινους </w:t>
            </w:r>
            <w:r w:rsidR="00834640" w:rsidRPr="00F6055F">
              <w:rPr>
                <w:rFonts w:ascii="Arial" w:eastAsia="Times New Roman" w:hAnsi="Arial" w:cs="Arial"/>
                <w:sz w:val="20"/>
                <w:szCs w:val="20"/>
              </w:rPr>
              <w:t xml:space="preserve">και οικονομικούς </w:t>
            </w:r>
            <w:r w:rsidRPr="00F6055F">
              <w:rPr>
                <w:rFonts w:ascii="Arial" w:eastAsia="Times New Roman" w:hAnsi="Arial" w:cs="Arial"/>
                <w:sz w:val="20"/>
                <w:szCs w:val="20"/>
              </w:rPr>
              <w:t>πόρους και, δύναται να παρέχει συμβουλευτικές και άλλες υπηρεσίες, περιλαμβανομένης της διαχείρισης κινδύνων και</w:t>
            </w:r>
            <w:r w:rsidR="00027BAB" w:rsidRPr="00F6055F">
              <w:rPr>
                <w:rFonts w:ascii="Arial" w:eastAsia="Times New Roman" w:hAnsi="Arial" w:cs="Arial"/>
                <w:sz w:val="20"/>
                <w:szCs w:val="20"/>
              </w:rPr>
              <w:t xml:space="preserve"> διαχείρισης</w:t>
            </w:r>
            <w:r w:rsidRPr="00F6055F">
              <w:rPr>
                <w:rFonts w:ascii="Arial" w:eastAsia="Times New Roman" w:hAnsi="Arial" w:cs="Arial"/>
                <w:sz w:val="20"/>
                <w:szCs w:val="20"/>
              </w:rPr>
              <w:t xml:space="preserve"> των διαθέσιμων χρηματοδοτικών μέσων του ΣΕΚ, στην Επιτροπή</w:t>
            </w:r>
            <w:r w:rsidR="00027BAB" w:rsidRPr="00F6055F">
              <w:rPr>
                <w:rFonts w:ascii="Arial" w:eastAsia="Times New Roman" w:hAnsi="Arial" w:cs="Arial"/>
                <w:sz w:val="20"/>
                <w:szCs w:val="20"/>
              </w:rPr>
              <w:t>,</w:t>
            </w:r>
            <w:r w:rsidRPr="00F6055F">
              <w:rPr>
                <w:rFonts w:ascii="Arial" w:eastAsia="Times New Roman" w:hAnsi="Arial" w:cs="Arial"/>
                <w:sz w:val="20"/>
                <w:szCs w:val="20"/>
              </w:rPr>
              <w:t xml:space="preserve"> όπως αποφασίζεται από την Κεντρική Τράπεζα, για την επίτευξη των σκοπών και την άσκηση των εξουσιών του ΣΕΚ</w:t>
            </w:r>
            <w:r w:rsidR="001F389C" w:rsidRPr="00F6055F">
              <w:rPr>
                <w:rFonts w:ascii="Arial" w:eastAsia="Times New Roman" w:hAnsi="Arial" w:cs="Arial"/>
                <w:sz w:val="20"/>
                <w:szCs w:val="20"/>
              </w:rPr>
              <w:t>.</w:t>
            </w:r>
          </w:p>
          <w:p w:rsidR="00D620ED" w:rsidRPr="00F6055F" w:rsidRDefault="00D620ED" w:rsidP="004D6091">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2268" w:type="dxa"/>
            <w:gridSpan w:val="5"/>
          </w:tcPr>
          <w:p w:rsidR="00D620ED" w:rsidRPr="00F6055F" w:rsidRDefault="00D620ED" w:rsidP="00D620ED">
            <w:pPr>
              <w:spacing w:after="0" w:line="240" w:lineRule="auto"/>
              <w:contextualSpacing/>
              <w:mirrorIndents/>
              <w:jc w:val="both"/>
              <w:rPr>
                <w:rFonts w:ascii="Arial" w:hAnsi="Arial" w:cs="Arial"/>
                <w:sz w:val="20"/>
                <w:szCs w:val="20"/>
              </w:rPr>
            </w:pPr>
          </w:p>
        </w:tc>
        <w:tc>
          <w:tcPr>
            <w:tcW w:w="5811" w:type="dxa"/>
          </w:tcPr>
          <w:p w:rsidR="00D620ED" w:rsidRPr="00F6055F" w:rsidRDefault="00D620ED" w:rsidP="00D620ED">
            <w:pPr>
              <w:widowControl w:val="0"/>
              <w:autoSpaceDE w:val="0"/>
              <w:autoSpaceDN w:val="0"/>
              <w:adjustRightInd w:val="0"/>
              <w:spacing w:line="240" w:lineRule="auto"/>
              <w:ind w:left="29" w:hanging="29"/>
              <w:jc w:val="both"/>
              <w:rPr>
                <w:rFonts w:ascii="Arial" w:eastAsia="Times New Roman" w:hAnsi="Arial" w:cs="Arial"/>
                <w:sz w:val="20"/>
                <w:szCs w:val="20"/>
              </w:rPr>
            </w:pPr>
            <w:r w:rsidRPr="00F6055F">
              <w:rPr>
                <w:rFonts w:ascii="Arial" w:eastAsia="Times New Roman" w:hAnsi="Arial" w:cs="Arial"/>
                <w:sz w:val="20"/>
                <w:szCs w:val="20"/>
              </w:rPr>
              <w:t>(2) Για τους σκοπούς του παρόντος Νόμου, η Κεντρική Τράπεζα, ο Διοικητής και οποιοδήποτε πρόσωπο το οποίο είναι σύμβουλος ή λειτουργός της Κεντρικής Τράπεζας, δεν υπέχει ευθύνη σε περίπτωση αγωγής, αίτησης ή άλλης νομικής διαδικασίας για αποζημιώσεις σχετικά με οποιαδήποτε πράξη ή παράλειψ</w:t>
            </w:r>
            <w:r w:rsidR="001F389C" w:rsidRPr="00F6055F">
              <w:rPr>
                <w:rFonts w:ascii="Arial" w:eastAsia="Times New Roman" w:hAnsi="Arial" w:cs="Arial"/>
                <w:sz w:val="20"/>
                <w:szCs w:val="20"/>
              </w:rPr>
              <w:t>η</w:t>
            </w:r>
            <w:r w:rsidRPr="00F6055F">
              <w:rPr>
                <w:rFonts w:ascii="Arial" w:eastAsia="Times New Roman" w:hAnsi="Arial" w:cs="Arial"/>
                <w:sz w:val="20"/>
                <w:szCs w:val="20"/>
              </w:rPr>
              <w:t xml:space="preserve"> κατά την άσκηση των αρμοδιοτήτων και ευθυνών της Κεντρικής Τράπεζας δυνάμει του παρόντος Νόμου ή δυνάμει οποιωνδήποτε διαταγμάτων και κανονισμών που εκδίδονται σύμφωνα με τον παρόντα Νόμο, εκτός αν αποδειχθεί ότι η πράξη ή η παράλειψη δεν έγινε καλή τη </w:t>
            </w:r>
            <w:proofErr w:type="spellStart"/>
            <w:r w:rsidRPr="00F6055F">
              <w:rPr>
                <w:rFonts w:ascii="Arial" w:eastAsia="Times New Roman" w:hAnsi="Arial" w:cs="Arial"/>
                <w:sz w:val="20"/>
                <w:szCs w:val="20"/>
              </w:rPr>
              <w:t>πίστει</w:t>
            </w:r>
            <w:proofErr w:type="spellEnd"/>
            <w:r w:rsidRPr="00F6055F">
              <w:rPr>
                <w:rFonts w:ascii="Arial" w:eastAsia="Times New Roman" w:hAnsi="Arial" w:cs="Arial"/>
                <w:sz w:val="20"/>
                <w:szCs w:val="20"/>
              </w:rPr>
              <w:t xml:space="preserve"> ή είναι αποτέλεσμα βαριάς αμέλειας.</w:t>
            </w: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2268" w:type="dxa"/>
            <w:gridSpan w:val="5"/>
          </w:tcPr>
          <w:p w:rsidR="00D620ED" w:rsidRPr="00F6055F" w:rsidRDefault="00D620ED" w:rsidP="00D620ED">
            <w:pPr>
              <w:spacing w:after="0" w:line="240" w:lineRule="auto"/>
              <w:contextualSpacing/>
              <w:mirrorIndents/>
              <w:jc w:val="both"/>
              <w:rPr>
                <w:rFonts w:ascii="Arial" w:hAnsi="Arial" w:cs="Arial"/>
                <w:sz w:val="20"/>
                <w:szCs w:val="20"/>
              </w:rPr>
            </w:pPr>
          </w:p>
        </w:tc>
        <w:tc>
          <w:tcPr>
            <w:tcW w:w="5811" w:type="dxa"/>
          </w:tcPr>
          <w:p w:rsidR="00D620ED" w:rsidRPr="00F6055F" w:rsidRDefault="00D620ED" w:rsidP="009B7620">
            <w:pPr>
              <w:widowControl w:val="0"/>
              <w:autoSpaceDE w:val="0"/>
              <w:autoSpaceDN w:val="0"/>
              <w:adjustRightInd w:val="0"/>
              <w:spacing w:line="240" w:lineRule="auto"/>
              <w:ind w:left="29" w:hanging="29"/>
              <w:jc w:val="both"/>
              <w:rPr>
                <w:rFonts w:ascii="Arial" w:eastAsia="Times New Roman" w:hAnsi="Arial" w:cs="Arial"/>
                <w:sz w:val="20"/>
                <w:szCs w:val="20"/>
              </w:rPr>
            </w:pPr>
            <w:r w:rsidRPr="00F6055F">
              <w:rPr>
                <w:rFonts w:ascii="Arial" w:eastAsia="Times New Roman" w:hAnsi="Arial" w:cs="Arial"/>
                <w:sz w:val="20"/>
                <w:szCs w:val="20"/>
              </w:rPr>
              <w:t xml:space="preserve">(3) Η Κεντρική Τράπεζα δύναται να ανακτά απευθείας από τα ιδρύματα τα εύλογα και </w:t>
            </w:r>
            <w:proofErr w:type="spellStart"/>
            <w:r w:rsidRPr="00F6055F">
              <w:rPr>
                <w:rFonts w:ascii="Arial" w:eastAsia="Times New Roman" w:hAnsi="Arial" w:cs="Arial"/>
                <w:sz w:val="20"/>
                <w:szCs w:val="20"/>
              </w:rPr>
              <w:t>κοστοστρεφή</w:t>
            </w:r>
            <w:proofErr w:type="spellEnd"/>
            <w:r w:rsidRPr="00F6055F">
              <w:rPr>
                <w:rFonts w:ascii="Arial" w:eastAsia="Times New Roman" w:hAnsi="Arial" w:cs="Arial"/>
                <w:sz w:val="20"/>
                <w:szCs w:val="20"/>
              </w:rPr>
              <w:t xml:space="preserve"> έξοδα που προκύπτουν από την εφαρμογή του εδαφίου (1), η δε συνεισφορά κάθε ΑΠΙ και ιδρύματος για τα έξοδα αποφασίζεται από την Κεντρική Τράπεζα.»</w:t>
            </w:r>
          </w:p>
        </w:tc>
      </w:tr>
      <w:tr w:rsidR="00F6055F" w:rsidRPr="00F6055F" w:rsidTr="00A54882">
        <w:tc>
          <w:tcPr>
            <w:tcW w:w="1668" w:type="dxa"/>
          </w:tcPr>
          <w:p w:rsidR="005B4662" w:rsidRPr="00F6055F" w:rsidRDefault="005B4662" w:rsidP="009B7620">
            <w:pPr>
              <w:spacing w:after="0" w:line="240" w:lineRule="auto"/>
              <w:contextualSpacing/>
              <w:mirrorIndents/>
              <w:rPr>
                <w:rFonts w:ascii="Arial" w:eastAsia="Arial Unicode MS" w:hAnsi="Arial" w:cs="Arial"/>
                <w:sz w:val="20"/>
                <w:szCs w:val="20"/>
                <w:lang w:eastAsia="el-GR"/>
              </w:rPr>
            </w:pPr>
          </w:p>
        </w:tc>
        <w:tc>
          <w:tcPr>
            <w:tcW w:w="2268" w:type="dxa"/>
            <w:gridSpan w:val="5"/>
          </w:tcPr>
          <w:p w:rsidR="005B4662" w:rsidRPr="00F6055F" w:rsidRDefault="005B4662" w:rsidP="009B7620">
            <w:pPr>
              <w:spacing w:after="0" w:line="240" w:lineRule="auto"/>
              <w:contextualSpacing/>
              <w:mirrorIndents/>
              <w:jc w:val="both"/>
              <w:rPr>
                <w:rFonts w:ascii="Arial" w:hAnsi="Arial" w:cs="Arial"/>
                <w:sz w:val="20"/>
                <w:szCs w:val="20"/>
              </w:rPr>
            </w:pPr>
          </w:p>
        </w:tc>
        <w:tc>
          <w:tcPr>
            <w:tcW w:w="5811" w:type="dxa"/>
          </w:tcPr>
          <w:p w:rsidR="005B4662" w:rsidRPr="00F6055F" w:rsidRDefault="005B4662" w:rsidP="009B7620">
            <w:pPr>
              <w:widowControl w:val="0"/>
              <w:autoSpaceDE w:val="0"/>
              <w:autoSpaceDN w:val="0"/>
              <w:adjustRightInd w:val="0"/>
              <w:spacing w:after="0" w:line="240" w:lineRule="auto"/>
              <w:ind w:left="29" w:hanging="29"/>
              <w:jc w:val="both"/>
              <w:rPr>
                <w:rFonts w:ascii="Arial" w:eastAsia="Times New Roman" w:hAnsi="Arial" w:cs="Arial"/>
                <w:sz w:val="20"/>
                <w:szCs w:val="20"/>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24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w:t>
            </w:r>
            <w:r w:rsidR="00C56E23">
              <w:rPr>
                <w:rFonts w:ascii="Arial" w:eastAsia="Arial Unicode MS" w:hAnsi="Arial" w:cs="Arial"/>
                <w:sz w:val="20"/>
                <w:szCs w:val="20"/>
                <w:lang w:eastAsia="el-GR"/>
              </w:rPr>
              <w:t>2</w:t>
            </w:r>
            <w:r w:rsidRPr="00F6055F">
              <w:rPr>
                <w:rFonts w:ascii="Arial" w:eastAsia="Arial Unicode MS" w:hAnsi="Arial" w:cs="Arial"/>
                <w:sz w:val="20"/>
                <w:szCs w:val="20"/>
                <w:lang w:eastAsia="el-GR"/>
              </w:rPr>
              <w:t>. Το άρθρο 24 του βασικού νόμου τροποποιείται ως ακολούθως:.</w:t>
            </w: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1B5A44">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(α) Με την προσθήκη στο εδάφιο (1) αυτού, αμέσως μετά τη λέξη «πληροφορίες», (πρώτη γραμμή) της φράσης «</w:t>
            </w:r>
            <w:r w:rsidR="007649A3">
              <w:rPr>
                <w:rFonts w:ascii="Arial" w:eastAsia="Arial Unicode MS" w:hAnsi="Arial" w:cs="Arial"/>
                <w:sz w:val="20"/>
                <w:szCs w:val="20"/>
                <w:lang w:eastAsia="el-GR"/>
              </w:rPr>
              <w:t xml:space="preserve">, </w:t>
            </w:r>
            <w:r w:rsidRPr="00F6055F">
              <w:rPr>
                <w:rFonts w:ascii="Arial" w:eastAsia="Arial Unicode MS" w:hAnsi="Arial" w:cs="Arial"/>
                <w:sz w:val="20"/>
                <w:szCs w:val="20"/>
                <w:lang w:eastAsia="el-GR"/>
              </w:rPr>
              <w:t>συνεργάζεται»·</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1375"/>
        </w:trPr>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Με την αντικατάσταση του εδαφίου (2) αυτού, με το ακόλουθο νέο εδάφιο:</w:t>
            </w: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«(2)</w:t>
            </w:r>
            <w:r w:rsidRPr="00F6055F">
              <w:rPr>
                <w:rFonts w:ascii="Arial" w:hAnsi="Arial" w:cs="Arial"/>
                <w:sz w:val="20"/>
                <w:szCs w:val="20"/>
              </w:rPr>
              <w:t xml:space="preserve"> </w:t>
            </w:r>
            <w:r w:rsidRPr="00F6055F">
              <w:rPr>
                <w:rFonts w:ascii="Arial" w:eastAsia="Arial Unicode MS" w:hAnsi="Arial" w:cs="Arial"/>
                <w:sz w:val="20"/>
                <w:szCs w:val="20"/>
                <w:lang w:eastAsia="el-GR"/>
              </w:rPr>
              <w:t>Τηρουμένων των διατάξεων του Κανονισμού (ΕΕ) 2016/679, το ΣΕΚ συνάπτει γραπτές συμφωνίες με άλλα συστήματα εγγύησης καταθέσεων ώστε να επιτυγχάνεται,  η αποτελεσματική εφαρμογή του παρόντος Νόμου και της Οδηγίας 2014/49/EΕ και ενημερώνει την ΕΑΤ σχετικά με την ύπαρξη και το περιεχόμενο  των συμφωνιών αυτών˙ εάν το ΣΕΚ δεν μπορεί να καταλήξει σε  συμφωνία ή εάν προκύψει διαφορά με άλλο σύστημα εγγύησης  καταθέσεων ως προς την ερμηνεία μιας συμφωνίας, έκαστο των μερών μπορεί να παραπέμψει το θέμα στην ΕΑΤ σύμφωνα με το Άρθρο 19  του Κανονισμού (ΕΕ) αριθ. 1093/2010˙ η απουσία τέτοιων συμφωνιών  δεν επηρεάζει τις απαιτήσεις καταθετών σύμφωνα με τις διατάξεις του  εδαφίου (1) του άρθρου 27 του παρόντος Νόμου ή των ΑΠΙ ή των πιστωτικών ιδρυμάτων που αναφέρονται στην παράγραφο 4 του Κανονισμού 19 των περί Συστήματος Εγγύησης των Καταθέσεων και Εξυγίανσης Πιστωτικών και Άλλων Ιδρυμάτων Κανονισμών»».</w:t>
            </w:r>
          </w:p>
        </w:tc>
      </w:tr>
      <w:tr w:rsidR="00F6055F" w:rsidRPr="00F6055F" w:rsidTr="00A54882">
        <w:trPr>
          <w:trHeight w:val="74"/>
        </w:trPr>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rPr>
          <w:trHeight w:val="74"/>
        </w:trPr>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(γ) Με την αντικατάσταση στο εδάφιο  3 αυτού  της φράσης «περί Επεξεργασίας Δεδομένων Προσωπικού Χαρακτήρα (Προστασία του Ατόμου) Νόμου» (τρίτη μέχρι τέταρτη γραμμή) με την φράση «Κανονισμού (ΕΕ) 2016/679».</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27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D620ED" w:rsidRPr="00F6055F" w:rsidRDefault="00D620ED" w:rsidP="00C56E23">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w:t>
            </w:r>
            <w:r w:rsidR="00C56E23">
              <w:rPr>
                <w:rFonts w:ascii="Arial" w:eastAsia="Arial Unicode MS" w:hAnsi="Arial" w:cs="Arial"/>
                <w:sz w:val="20"/>
                <w:szCs w:val="20"/>
                <w:lang w:eastAsia="el-GR"/>
              </w:rPr>
              <w:t>3</w:t>
            </w:r>
            <w:r w:rsidRPr="00F6055F">
              <w:rPr>
                <w:rFonts w:ascii="Arial" w:eastAsia="Arial Unicode MS" w:hAnsi="Arial" w:cs="Arial"/>
                <w:sz w:val="20"/>
                <w:szCs w:val="20"/>
                <w:lang w:eastAsia="el-GR"/>
              </w:rPr>
              <w:t xml:space="preserve">. Το άρθρο 27 του βασικού νόμου τροποποιείται ως ακολούθως: </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9B7620">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(α) με την αντικατάστασης της φράσης «το άρθρο 33Ο του περί Εργασιών Πιστωτικών Ιδρυμάτων Νόμου» οπουδήποτε αυτή απαντάται, με τη φράση «το άρθρο </w:t>
            </w:r>
            <w:r w:rsidR="009B7620" w:rsidRPr="00F6055F">
              <w:rPr>
                <w:rFonts w:ascii="Arial" w:eastAsia="Arial Unicode MS" w:hAnsi="Arial" w:cs="Arial"/>
                <w:sz w:val="20"/>
                <w:szCs w:val="20"/>
                <w:lang w:eastAsia="el-GR"/>
              </w:rPr>
              <w:t>31</w:t>
            </w:r>
            <w:r w:rsidRPr="00F6055F">
              <w:rPr>
                <w:rFonts w:ascii="Arial" w:eastAsia="Arial Unicode MS" w:hAnsi="Arial" w:cs="Arial"/>
                <w:sz w:val="20"/>
                <w:szCs w:val="20"/>
                <w:lang w:eastAsia="el-GR"/>
              </w:rPr>
              <w:t xml:space="preserve"> του περί Εκκαθάρισης Πιστωτικών Ιδρυμάτων Νόμου» στην αντίστοιχη γραμματική της παραλλαγή·</w:t>
            </w: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A54882">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w:t>
            </w:r>
            <w:proofErr w:type="spellStart"/>
            <w:r w:rsidRPr="00F6055F">
              <w:rPr>
                <w:rFonts w:ascii="Arial" w:eastAsia="Arial Unicode MS" w:hAnsi="Arial" w:cs="Arial"/>
                <w:sz w:val="20"/>
                <w:szCs w:val="20"/>
                <w:lang w:val="en-GB" w:eastAsia="el-GR"/>
              </w:rPr>
              <w:t>i</w:t>
            </w:r>
            <w:proofErr w:type="spellEnd"/>
            <w:r w:rsidRPr="00F6055F">
              <w:rPr>
                <w:rFonts w:ascii="Arial" w:eastAsia="Arial Unicode MS" w:hAnsi="Arial" w:cs="Arial"/>
                <w:sz w:val="20"/>
                <w:szCs w:val="20"/>
                <w:lang w:eastAsia="el-GR"/>
              </w:rPr>
              <w:t>) με την αντικατάσταση στην παράγραφο (β) του εδαφίου 3 αυτού της φράσης «, ανάλογα με την περίπτωση, τον Ειδικό Διαχειριστή που διορίζεται σύμφωνα με το άρθρο 46 του περί Εξυγίανσης Πιστωτικών Ιδρυμάτων και Επενδυτικών Εταιρειών Νόμου» (δεύτερη έως πέμπτη γραμμή) με τη φράση «τον εκκαθαριστή ή προσωρινό εκκαθαριστή ή τον ειδικό διαχειριστή, ανάλογα</w:t>
            </w:r>
            <w:r w:rsidR="001F389C" w:rsidRPr="00F6055F">
              <w:rPr>
                <w:rFonts w:ascii="Arial" w:eastAsia="Arial Unicode MS" w:hAnsi="Arial" w:cs="Arial"/>
                <w:sz w:val="20"/>
                <w:szCs w:val="20"/>
                <w:lang w:eastAsia="el-GR"/>
              </w:rPr>
              <w:t xml:space="preserve"> με την περίπτωση</w:t>
            </w:r>
            <w:r w:rsidRPr="00F6055F">
              <w:rPr>
                <w:rFonts w:ascii="Arial" w:eastAsia="Arial Unicode MS" w:hAnsi="Arial" w:cs="Arial"/>
                <w:sz w:val="20"/>
                <w:szCs w:val="20"/>
                <w:lang w:eastAsia="el-GR"/>
              </w:rPr>
              <w:t xml:space="preserve">: </w:t>
            </w:r>
          </w:p>
        </w:tc>
      </w:tr>
      <w:tr w:rsidR="00F6055F" w:rsidRPr="00F6055F" w:rsidTr="00FA6ED3">
        <w:tc>
          <w:tcPr>
            <w:tcW w:w="1668" w:type="dxa"/>
          </w:tcPr>
          <w:p w:rsidR="001F389C" w:rsidRPr="00F6055F" w:rsidRDefault="001F389C"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1F389C" w:rsidRPr="00F6055F" w:rsidRDefault="001F389C"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w:t>
            </w:r>
            <w:r w:rsidRPr="00F6055F">
              <w:rPr>
                <w:rFonts w:ascii="Arial" w:eastAsia="Arial Unicode MS" w:hAnsi="Arial" w:cs="Arial"/>
                <w:sz w:val="20"/>
                <w:szCs w:val="20"/>
                <w:lang w:val="en-GB" w:eastAsia="el-GR"/>
              </w:rPr>
              <w:t>ii</w:t>
            </w:r>
            <w:r w:rsidRPr="00F6055F">
              <w:rPr>
                <w:rFonts w:ascii="Arial" w:eastAsia="Arial Unicode MS" w:hAnsi="Arial" w:cs="Arial"/>
                <w:sz w:val="20"/>
                <w:szCs w:val="20"/>
                <w:lang w:eastAsia="el-GR"/>
              </w:rPr>
              <w:t xml:space="preserve">) με την αντικατάσταση στην παράγραφο (γ) του εδαφίου (3) αυτού της φράσης «ανάλογα με την περίπτωση, ο Ειδικός Διαχειριστής» (δεύτερη έως τρίτη γραμμή) με τη φράση «ο εκκαθαριστής ή προσωρινός εκκαθαριστής ή ειδικός διαχειριστής, ανάλογα με την περίπτωση». </w:t>
            </w:r>
          </w:p>
        </w:tc>
      </w:tr>
      <w:tr w:rsidR="00F6055F" w:rsidRPr="00F6055F" w:rsidTr="00FA6ED3">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Τροποποίηση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 xml:space="preserve">του άρθρου 28 </w:t>
            </w:r>
          </w:p>
          <w:p w:rsidR="00D620ED" w:rsidRPr="00F6055F" w:rsidRDefault="00D620ED" w:rsidP="00D620ED">
            <w:pPr>
              <w:spacing w:after="0" w:line="240" w:lineRule="auto"/>
              <w:contextualSpacing/>
              <w:mirrorIndents/>
              <w:rPr>
                <w:rFonts w:ascii="Arial" w:eastAsia="Arial Unicode MS" w:hAnsi="Arial" w:cs="Arial"/>
                <w:sz w:val="20"/>
                <w:szCs w:val="20"/>
                <w:lang w:eastAsia="el-GR"/>
              </w:rPr>
            </w:pPr>
            <w:r w:rsidRPr="00F6055F">
              <w:rPr>
                <w:rFonts w:ascii="Arial" w:eastAsia="Arial Unicode MS" w:hAnsi="Arial" w:cs="Arial"/>
                <w:sz w:val="20"/>
                <w:szCs w:val="20"/>
                <w:lang w:eastAsia="el-GR"/>
              </w:rPr>
              <w:t>του βασικού νόμου.</w:t>
            </w:r>
          </w:p>
        </w:tc>
        <w:tc>
          <w:tcPr>
            <w:tcW w:w="8079" w:type="dxa"/>
            <w:gridSpan w:val="6"/>
          </w:tcPr>
          <w:p w:rsidR="000C0349" w:rsidRPr="00F6055F" w:rsidRDefault="00D620ED"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1</w:t>
            </w:r>
            <w:r w:rsidR="00C56E23">
              <w:rPr>
                <w:rFonts w:ascii="Arial" w:eastAsia="Arial Unicode MS" w:hAnsi="Arial" w:cs="Arial"/>
                <w:sz w:val="20"/>
                <w:szCs w:val="20"/>
                <w:lang w:eastAsia="el-GR"/>
              </w:rPr>
              <w:t>4</w:t>
            </w:r>
            <w:r w:rsidRPr="00F6055F">
              <w:rPr>
                <w:rFonts w:ascii="Arial" w:eastAsia="Arial Unicode MS" w:hAnsi="Arial" w:cs="Arial"/>
                <w:sz w:val="20"/>
                <w:szCs w:val="20"/>
                <w:lang w:eastAsia="el-GR"/>
              </w:rPr>
              <w:t xml:space="preserve">. </w:t>
            </w:r>
            <w:r w:rsidR="000C0349" w:rsidRPr="00F6055F">
              <w:rPr>
                <w:rFonts w:ascii="Arial" w:eastAsia="Arial Unicode MS" w:hAnsi="Arial" w:cs="Arial"/>
                <w:sz w:val="20"/>
                <w:szCs w:val="20"/>
                <w:lang w:eastAsia="el-GR"/>
              </w:rPr>
              <w:t xml:space="preserve">Το άρθρο 28  του βασικού νόμου τροποποιείται ως ακολούθως: </w:t>
            </w:r>
          </w:p>
          <w:p w:rsidR="000C0349" w:rsidRPr="00F6055F" w:rsidRDefault="000C0349" w:rsidP="00D620ED">
            <w:pPr>
              <w:spacing w:after="0" w:line="240" w:lineRule="auto"/>
              <w:contextualSpacing/>
              <w:mirrorIndents/>
              <w:jc w:val="both"/>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c>
          <w:tcPr>
            <w:tcW w:w="1668" w:type="dxa"/>
          </w:tcPr>
          <w:p w:rsidR="00D620ED" w:rsidRPr="00F6055F" w:rsidRDefault="00D620ED"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D620ED" w:rsidRPr="00F6055F" w:rsidRDefault="00D620ED"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rPr>
          <w:trHeight w:val="750"/>
        </w:trPr>
        <w:tc>
          <w:tcPr>
            <w:tcW w:w="1668" w:type="dxa"/>
          </w:tcPr>
          <w:p w:rsidR="000C0349" w:rsidRPr="00F6055F" w:rsidRDefault="000C0349"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0C0349" w:rsidRPr="00F6055F" w:rsidRDefault="00984805"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(α) με την αντικατάσταση της παραγράφου (α) του εδαφίου (1) με την ακόλουθη νέα παράγραφο – «η Επιτροπή ενημερώνει αμέσως την αρμόδια αρχή τηρουμένων των διατάξεων των οικείων νομοθεσιών, η οποία, σε συνεργασία με την Επιτροπή, εν ανάγκη αποφασίζει την επιβολή οποιασδήποτε κύρωσης, η οποία προβλέπεται από τις οικίες νομοθεσίες, οι δε διατάξεις των εν λόγω Νόμων που επιτρέπουν στην αρμόδια αρχή την επιβολή τέτοιων κυρώσεων καθίστανται κατ’ αναλογία εφαρμοστέες για τους σκοπούς του παρόντος Νόμου»</w:t>
            </w:r>
            <w:r w:rsidR="000C0349" w:rsidRPr="00F6055F">
              <w:rPr>
                <w:rFonts w:ascii="Arial" w:eastAsia="Arial Unicode MS" w:hAnsi="Arial" w:cs="Arial"/>
                <w:sz w:val="20"/>
                <w:szCs w:val="20"/>
                <w:lang w:eastAsia="el-GR"/>
              </w:rPr>
              <w:t xml:space="preserve">. </w:t>
            </w:r>
          </w:p>
        </w:tc>
      </w:tr>
      <w:tr w:rsidR="00F6055F" w:rsidRPr="00F6055F" w:rsidTr="00FA6ED3">
        <w:tc>
          <w:tcPr>
            <w:tcW w:w="1668" w:type="dxa"/>
          </w:tcPr>
          <w:p w:rsidR="000C0349" w:rsidRPr="00F6055F" w:rsidRDefault="000C0349"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0C0349" w:rsidRPr="00F6055F" w:rsidRDefault="000C0349" w:rsidP="00517D90">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c>
          <w:tcPr>
            <w:tcW w:w="1668" w:type="dxa"/>
          </w:tcPr>
          <w:p w:rsidR="000C0349" w:rsidRPr="00F6055F" w:rsidRDefault="000C0349"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0C0349" w:rsidRPr="00F6055F" w:rsidRDefault="000C0349" w:rsidP="00D620ED">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(β) με την αντικατάσταση στην παράγραφο (α) του εδαφίου (2) της φράσης «πιστωτικού ιδρύματος που η έδρα του είναι άλλη από τη Δημοκρατία» (πέμπτη γραμμή) με τη φράση «υποκαταστήματος ιδρύματος τρίτης χώρας»</w:t>
            </w:r>
          </w:p>
        </w:tc>
      </w:tr>
      <w:tr w:rsidR="00F6055F" w:rsidRPr="00F6055F" w:rsidTr="00FA6ED3">
        <w:tc>
          <w:tcPr>
            <w:tcW w:w="1668" w:type="dxa"/>
          </w:tcPr>
          <w:p w:rsidR="000C0349" w:rsidRPr="00F6055F" w:rsidRDefault="000C0349"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0C0349" w:rsidRPr="00F6055F" w:rsidRDefault="000C0349" w:rsidP="00D620ED">
            <w:pPr>
              <w:spacing w:after="0" w:line="240" w:lineRule="auto"/>
              <w:contextualSpacing/>
              <w:mirrorIndents/>
              <w:jc w:val="both"/>
              <w:rPr>
                <w:rFonts w:ascii="Arial" w:eastAsia="Arial Unicode MS" w:hAnsi="Arial" w:cs="Arial"/>
                <w:sz w:val="20"/>
                <w:szCs w:val="20"/>
                <w:lang w:eastAsia="el-GR"/>
              </w:rPr>
            </w:pPr>
          </w:p>
        </w:tc>
      </w:tr>
      <w:tr w:rsidR="00F6055F" w:rsidRPr="00F6055F" w:rsidTr="00FA6ED3">
        <w:tc>
          <w:tcPr>
            <w:tcW w:w="1668" w:type="dxa"/>
          </w:tcPr>
          <w:p w:rsidR="000C0349" w:rsidRPr="00F6055F" w:rsidRDefault="000C0349" w:rsidP="00D620ED">
            <w:pPr>
              <w:spacing w:after="0" w:line="240" w:lineRule="auto"/>
              <w:contextualSpacing/>
              <w:mirrorIndents/>
              <w:rPr>
                <w:rFonts w:ascii="Arial" w:eastAsia="Arial Unicode MS" w:hAnsi="Arial" w:cs="Arial"/>
                <w:sz w:val="20"/>
                <w:szCs w:val="20"/>
                <w:lang w:eastAsia="el-GR"/>
              </w:rPr>
            </w:pPr>
          </w:p>
        </w:tc>
        <w:tc>
          <w:tcPr>
            <w:tcW w:w="8079" w:type="dxa"/>
            <w:gridSpan w:val="6"/>
          </w:tcPr>
          <w:p w:rsidR="000C0349" w:rsidRPr="00F6055F" w:rsidRDefault="000C0349" w:rsidP="000C0349">
            <w:pPr>
              <w:spacing w:after="0" w:line="240" w:lineRule="auto"/>
              <w:contextualSpacing/>
              <w:mirrorIndents/>
              <w:jc w:val="both"/>
              <w:rPr>
                <w:rFonts w:ascii="Arial" w:eastAsia="Arial Unicode MS" w:hAnsi="Arial" w:cs="Arial"/>
                <w:sz w:val="20"/>
                <w:szCs w:val="20"/>
                <w:lang w:eastAsia="el-GR"/>
              </w:rPr>
            </w:pPr>
            <w:r w:rsidRPr="00F6055F">
              <w:rPr>
                <w:rFonts w:ascii="Arial" w:eastAsia="Arial Unicode MS" w:hAnsi="Arial" w:cs="Arial"/>
                <w:sz w:val="20"/>
                <w:szCs w:val="20"/>
                <w:lang w:eastAsia="el-GR"/>
              </w:rPr>
              <w:t>(γ) με την αντικατάσταση στην παράγραφο (β) του εδαφίου (3) της φράσης  «υποκατάστημα πιστωτικού ιδρύματος με έδρα σε χώρα εκτός της Ένωσης» (πρώτη γραμμή) με τη φράση «υποκαταστήματος ιδρύματος τρίτης χώρας» και με την αντικατάσταση της φράσης «πιστωτικό ίδρυμα» (τρίτη γραμμή) με τη φράση «ίδρυμα τρίτης χώρας»</w:t>
            </w:r>
          </w:p>
        </w:tc>
      </w:tr>
    </w:tbl>
    <w:p w:rsidR="00A753AC" w:rsidRPr="00F6055F" w:rsidRDefault="00A753AC">
      <w:pPr>
        <w:tabs>
          <w:tab w:val="left" w:pos="1308"/>
        </w:tabs>
        <w:spacing w:after="0" w:line="240" w:lineRule="auto"/>
        <w:rPr>
          <w:rFonts w:ascii="Arial" w:hAnsi="Arial" w:cs="Arial"/>
          <w:sz w:val="20"/>
          <w:szCs w:val="20"/>
        </w:rPr>
      </w:pPr>
    </w:p>
    <w:sectPr w:rsidR="00A753AC" w:rsidRPr="00F6055F" w:rsidSect="00A54882">
      <w:headerReference w:type="default" r:id="rId8"/>
      <w:footerReference w:type="default" r:id="rId9"/>
      <w:pgSz w:w="11906" w:h="16838"/>
      <w:pgMar w:top="992" w:right="1140" w:bottom="851"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74E" w:rsidRDefault="00AD774E" w:rsidP="00B4574C">
      <w:pPr>
        <w:spacing w:after="0" w:line="240" w:lineRule="auto"/>
      </w:pPr>
      <w:r>
        <w:separator/>
      </w:r>
    </w:p>
  </w:endnote>
  <w:endnote w:type="continuationSeparator" w:id="0">
    <w:p w:rsidR="00AD774E" w:rsidRDefault="00AD774E" w:rsidP="00B4574C">
      <w:pPr>
        <w:spacing w:after="0" w:line="240" w:lineRule="auto"/>
      </w:pPr>
      <w:r>
        <w:continuationSeparator/>
      </w:r>
    </w:p>
  </w:endnote>
  <w:endnote w:type="continuationNotice" w:id="1">
    <w:p w:rsidR="00AD774E" w:rsidRDefault="00AD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9CC" w:rsidRDefault="0083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74E" w:rsidRDefault="00AD774E" w:rsidP="00B4574C">
      <w:pPr>
        <w:spacing w:after="0" w:line="240" w:lineRule="auto"/>
      </w:pPr>
      <w:r>
        <w:separator/>
      </w:r>
    </w:p>
  </w:footnote>
  <w:footnote w:type="continuationSeparator" w:id="0">
    <w:p w:rsidR="00AD774E" w:rsidRDefault="00AD774E" w:rsidP="00B4574C">
      <w:pPr>
        <w:spacing w:after="0" w:line="240" w:lineRule="auto"/>
      </w:pPr>
      <w:r>
        <w:continuationSeparator/>
      </w:r>
    </w:p>
  </w:footnote>
  <w:footnote w:type="continuationNotice" w:id="1">
    <w:p w:rsidR="00AD774E" w:rsidRDefault="00AD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5B8" w:rsidRDefault="00A625B8">
    <w:pPr>
      <w:pStyle w:val="Header"/>
      <w:jc w:val="center"/>
    </w:pPr>
    <w:r>
      <w:fldChar w:fldCharType="begin"/>
    </w:r>
    <w:r>
      <w:instrText xml:space="preserve"> PAGE   \* MERGEFORMAT </w:instrText>
    </w:r>
    <w:r>
      <w:fldChar w:fldCharType="separate"/>
    </w:r>
    <w:r w:rsidR="007649A3">
      <w:rPr>
        <w:noProof/>
      </w:rPr>
      <w:t>9</w:t>
    </w:r>
    <w:r>
      <w:rPr>
        <w:noProof/>
      </w:rPr>
      <w:fldChar w:fldCharType="end"/>
    </w:r>
  </w:p>
  <w:p w:rsidR="00B4574C" w:rsidRDefault="00B4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DA2"/>
    <w:multiLevelType w:val="hybridMultilevel"/>
    <w:tmpl w:val="AAEA7FE2"/>
    <w:lvl w:ilvl="0" w:tplc="EBB6442C">
      <w:start w:val="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3F7F39"/>
    <w:multiLevelType w:val="hybridMultilevel"/>
    <w:tmpl w:val="66728890"/>
    <w:lvl w:ilvl="0" w:tplc="878C770C">
      <w:start w:val="1"/>
      <w:numFmt w:val="lowerRoman"/>
      <w:lvlText w:val="(%1)"/>
      <w:lvlJc w:val="left"/>
      <w:pPr>
        <w:ind w:left="1474" w:hanging="720"/>
      </w:pPr>
      <w:rPr>
        <w:rFonts w:hint="default"/>
      </w:rPr>
    </w:lvl>
    <w:lvl w:ilvl="1" w:tplc="04080019" w:tentative="1">
      <w:start w:val="1"/>
      <w:numFmt w:val="lowerLetter"/>
      <w:lvlText w:val="%2."/>
      <w:lvlJc w:val="left"/>
      <w:pPr>
        <w:ind w:left="1834" w:hanging="360"/>
      </w:pPr>
    </w:lvl>
    <w:lvl w:ilvl="2" w:tplc="0408001B" w:tentative="1">
      <w:start w:val="1"/>
      <w:numFmt w:val="lowerRoman"/>
      <w:lvlText w:val="%3."/>
      <w:lvlJc w:val="right"/>
      <w:pPr>
        <w:ind w:left="2554" w:hanging="180"/>
      </w:pPr>
    </w:lvl>
    <w:lvl w:ilvl="3" w:tplc="0408000F" w:tentative="1">
      <w:start w:val="1"/>
      <w:numFmt w:val="decimal"/>
      <w:lvlText w:val="%4."/>
      <w:lvlJc w:val="left"/>
      <w:pPr>
        <w:ind w:left="3274" w:hanging="360"/>
      </w:pPr>
    </w:lvl>
    <w:lvl w:ilvl="4" w:tplc="04080019" w:tentative="1">
      <w:start w:val="1"/>
      <w:numFmt w:val="lowerLetter"/>
      <w:lvlText w:val="%5."/>
      <w:lvlJc w:val="left"/>
      <w:pPr>
        <w:ind w:left="3994" w:hanging="360"/>
      </w:pPr>
    </w:lvl>
    <w:lvl w:ilvl="5" w:tplc="0408001B" w:tentative="1">
      <w:start w:val="1"/>
      <w:numFmt w:val="lowerRoman"/>
      <w:lvlText w:val="%6."/>
      <w:lvlJc w:val="right"/>
      <w:pPr>
        <w:ind w:left="4714" w:hanging="180"/>
      </w:pPr>
    </w:lvl>
    <w:lvl w:ilvl="6" w:tplc="0408000F" w:tentative="1">
      <w:start w:val="1"/>
      <w:numFmt w:val="decimal"/>
      <w:lvlText w:val="%7."/>
      <w:lvlJc w:val="left"/>
      <w:pPr>
        <w:ind w:left="5434" w:hanging="360"/>
      </w:pPr>
    </w:lvl>
    <w:lvl w:ilvl="7" w:tplc="04080019" w:tentative="1">
      <w:start w:val="1"/>
      <w:numFmt w:val="lowerLetter"/>
      <w:lvlText w:val="%8."/>
      <w:lvlJc w:val="left"/>
      <w:pPr>
        <w:ind w:left="6154" w:hanging="360"/>
      </w:pPr>
    </w:lvl>
    <w:lvl w:ilvl="8" w:tplc="0408001B" w:tentative="1">
      <w:start w:val="1"/>
      <w:numFmt w:val="lowerRoman"/>
      <w:lvlText w:val="%9."/>
      <w:lvlJc w:val="right"/>
      <w:pPr>
        <w:ind w:left="6874" w:hanging="180"/>
      </w:pPr>
    </w:lvl>
  </w:abstractNum>
  <w:abstractNum w:abstractNumId="2" w15:restartNumberingAfterBreak="0">
    <w:nsid w:val="51835329"/>
    <w:multiLevelType w:val="hybridMultilevel"/>
    <w:tmpl w:val="CECAC144"/>
    <w:lvl w:ilvl="0" w:tplc="BAF83710">
      <w:start w:val="1"/>
      <w:numFmt w:val="lowerRoman"/>
      <w:lvlText w:val="(%1)"/>
      <w:lvlJc w:val="left"/>
      <w:pPr>
        <w:ind w:left="1150" w:hanging="72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3" w15:restartNumberingAfterBreak="0">
    <w:nsid w:val="53594D0E"/>
    <w:multiLevelType w:val="hybridMultilevel"/>
    <w:tmpl w:val="670EDB74"/>
    <w:styleLink w:val="PPIHeadings11"/>
    <w:lvl w:ilvl="0" w:tplc="33BE8032">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753258"/>
    <w:multiLevelType w:val="hybridMultilevel"/>
    <w:tmpl w:val="7BE6A258"/>
    <w:lvl w:ilvl="0" w:tplc="D02484C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4C4ED9"/>
    <w:multiLevelType w:val="hybridMultilevel"/>
    <w:tmpl w:val="0E20676A"/>
    <w:lvl w:ilvl="0" w:tplc="9336030A">
      <w:start w:val="4"/>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E963FB"/>
    <w:multiLevelType w:val="hybridMultilevel"/>
    <w:tmpl w:val="8D380B14"/>
    <w:lvl w:ilvl="0" w:tplc="74ECDEDE">
      <w:start w:val="1"/>
      <w:numFmt w:val="lowerRoman"/>
      <w:lvlText w:val="(%1)"/>
      <w:lvlJc w:val="left"/>
      <w:pPr>
        <w:ind w:left="754" w:hanging="72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16cid:durableId="329869266">
    <w:abstractNumId w:val="0"/>
  </w:num>
  <w:num w:numId="2" w16cid:durableId="284389437">
    <w:abstractNumId w:val="5"/>
  </w:num>
  <w:num w:numId="3" w16cid:durableId="735667963">
    <w:abstractNumId w:val="3"/>
  </w:num>
  <w:num w:numId="4" w16cid:durableId="1509368018">
    <w:abstractNumId w:val="4"/>
  </w:num>
  <w:num w:numId="5" w16cid:durableId="1630235864">
    <w:abstractNumId w:val="6"/>
  </w:num>
  <w:num w:numId="6" w16cid:durableId="1855925098">
    <w:abstractNumId w:val="1"/>
  </w:num>
  <w:num w:numId="7" w16cid:durableId="1981228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93"/>
    <w:rsid w:val="00001802"/>
    <w:rsid w:val="0000221D"/>
    <w:rsid w:val="0000272F"/>
    <w:rsid w:val="000028BB"/>
    <w:rsid w:val="00003F6C"/>
    <w:rsid w:val="00004A48"/>
    <w:rsid w:val="00007BBC"/>
    <w:rsid w:val="00010BEB"/>
    <w:rsid w:val="00012305"/>
    <w:rsid w:val="00015734"/>
    <w:rsid w:val="00015A7A"/>
    <w:rsid w:val="00016785"/>
    <w:rsid w:val="000202D0"/>
    <w:rsid w:val="00020625"/>
    <w:rsid w:val="00022426"/>
    <w:rsid w:val="0002446F"/>
    <w:rsid w:val="00026D78"/>
    <w:rsid w:val="00027BAB"/>
    <w:rsid w:val="00027F57"/>
    <w:rsid w:val="00035539"/>
    <w:rsid w:val="00037450"/>
    <w:rsid w:val="00040C44"/>
    <w:rsid w:val="00041A5C"/>
    <w:rsid w:val="000430C3"/>
    <w:rsid w:val="00045951"/>
    <w:rsid w:val="00046A8E"/>
    <w:rsid w:val="000520CF"/>
    <w:rsid w:val="00054E71"/>
    <w:rsid w:val="00060C48"/>
    <w:rsid w:val="00062D9E"/>
    <w:rsid w:val="0007020B"/>
    <w:rsid w:val="00070B6C"/>
    <w:rsid w:val="000717B4"/>
    <w:rsid w:val="0007280D"/>
    <w:rsid w:val="00081457"/>
    <w:rsid w:val="00084EBD"/>
    <w:rsid w:val="00085A4B"/>
    <w:rsid w:val="00092B0E"/>
    <w:rsid w:val="000936ED"/>
    <w:rsid w:val="00093B5A"/>
    <w:rsid w:val="000A146D"/>
    <w:rsid w:val="000A19BA"/>
    <w:rsid w:val="000A2240"/>
    <w:rsid w:val="000A407E"/>
    <w:rsid w:val="000A588A"/>
    <w:rsid w:val="000A6CDE"/>
    <w:rsid w:val="000A6D77"/>
    <w:rsid w:val="000A746B"/>
    <w:rsid w:val="000A756B"/>
    <w:rsid w:val="000B0165"/>
    <w:rsid w:val="000B0BDB"/>
    <w:rsid w:val="000B1C00"/>
    <w:rsid w:val="000B3FBA"/>
    <w:rsid w:val="000B4A3C"/>
    <w:rsid w:val="000B641F"/>
    <w:rsid w:val="000C0349"/>
    <w:rsid w:val="000C24AE"/>
    <w:rsid w:val="000C4288"/>
    <w:rsid w:val="000C7397"/>
    <w:rsid w:val="000D096F"/>
    <w:rsid w:val="000D1393"/>
    <w:rsid w:val="000D1CDF"/>
    <w:rsid w:val="000D2740"/>
    <w:rsid w:val="000D3BFA"/>
    <w:rsid w:val="000E188F"/>
    <w:rsid w:val="000E2B61"/>
    <w:rsid w:val="000E5684"/>
    <w:rsid w:val="000F0E0D"/>
    <w:rsid w:val="000F305E"/>
    <w:rsid w:val="000F6396"/>
    <w:rsid w:val="000F6BF5"/>
    <w:rsid w:val="000F6FBB"/>
    <w:rsid w:val="000F7A96"/>
    <w:rsid w:val="0010065A"/>
    <w:rsid w:val="00100DB0"/>
    <w:rsid w:val="001034F0"/>
    <w:rsid w:val="00103F5D"/>
    <w:rsid w:val="001060D3"/>
    <w:rsid w:val="00106B1C"/>
    <w:rsid w:val="001108B1"/>
    <w:rsid w:val="00111FA0"/>
    <w:rsid w:val="00112369"/>
    <w:rsid w:val="00113888"/>
    <w:rsid w:val="001138E3"/>
    <w:rsid w:val="00113A4B"/>
    <w:rsid w:val="00117DEA"/>
    <w:rsid w:val="00120BDC"/>
    <w:rsid w:val="00120F78"/>
    <w:rsid w:val="00125814"/>
    <w:rsid w:val="00126F6B"/>
    <w:rsid w:val="001318F2"/>
    <w:rsid w:val="00132A7B"/>
    <w:rsid w:val="00135AF7"/>
    <w:rsid w:val="00135E03"/>
    <w:rsid w:val="00136E84"/>
    <w:rsid w:val="00137580"/>
    <w:rsid w:val="00137F51"/>
    <w:rsid w:val="00141561"/>
    <w:rsid w:val="001420C1"/>
    <w:rsid w:val="0014353E"/>
    <w:rsid w:val="0014498D"/>
    <w:rsid w:val="001453D8"/>
    <w:rsid w:val="00145883"/>
    <w:rsid w:val="00145CF9"/>
    <w:rsid w:val="00146997"/>
    <w:rsid w:val="001536D4"/>
    <w:rsid w:val="00156D0C"/>
    <w:rsid w:val="0016464D"/>
    <w:rsid w:val="00164ED6"/>
    <w:rsid w:val="0016737F"/>
    <w:rsid w:val="00172674"/>
    <w:rsid w:val="00174FE1"/>
    <w:rsid w:val="0017624E"/>
    <w:rsid w:val="00176BF3"/>
    <w:rsid w:val="00180542"/>
    <w:rsid w:val="001826F9"/>
    <w:rsid w:val="00184A6B"/>
    <w:rsid w:val="00191ECA"/>
    <w:rsid w:val="001929A5"/>
    <w:rsid w:val="00193A8E"/>
    <w:rsid w:val="001941EE"/>
    <w:rsid w:val="00195318"/>
    <w:rsid w:val="001953BE"/>
    <w:rsid w:val="0019783E"/>
    <w:rsid w:val="001A1D22"/>
    <w:rsid w:val="001A25C2"/>
    <w:rsid w:val="001A2AC1"/>
    <w:rsid w:val="001A2E39"/>
    <w:rsid w:val="001A4BAB"/>
    <w:rsid w:val="001A4D4D"/>
    <w:rsid w:val="001A4D9A"/>
    <w:rsid w:val="001A53FA"/>
    <w:rsid w:val="001A5479"/>
    <w:rsid w:val="001A66E5"/>
    <w:rsid w:val="001A6FC9"/>
    <w:rsid w:val="001B1293"/>
    <w:rsid w:val="001B2621"/>
    <w:rsid w:val="001B5A44"/>
    <w:rsid w:val="001B7747"/>
    <w:rsid w:val="001C0173"/>
    <w:rsid w:val="001C4EB4"/>
    <w:rsid w:val="001C5E2A"/>
    <w:rsid w:val="001C6434"/>
    <w:rsid w:val="001C6C33"/>
    <w:rsid w:val="001D0310"/>
    <w:rsid w:val="001D26EB"/>
    <w:rsid w:val="001D3441"/>
    <w:rsid w:val="001E082A"/>
    <w:rsid w:val="001E0E72"/>
    <w:rsid w:val="001E4B4F"/>
    <w:rsid w:val="001E7CCA"/>
    <w:rsid w:val="001F0166"/>
    <w:rsid w:val="001F24C3"/>
    <w:rsid w:val="001F2676"/>
    <w:rsid w:val="001F389C"/>
    <w:rsid w:val="001F3EE7"/>
    <w:rsid w:val="002020FA"/>
    <w:rsid w:val="00203164"/>
    <w:rsid w:val="00204B98"/>
    <w:rsid w:val="00206162"/>
    <w:rsid w:val="00207986"/>
    <w:rsid w:val="00214A42"/>
    <w:rsid w:val="00220BD9"/>
    <w:rsid w:val="00223728"/>
    <w:rsid w:val="002319DC"/>
    <w:rsid w:val="00231D85"/>
    <w:rsid w:val="00234526"/>
    <w:rsid w:val="002423B6"/>
    <w:rsid w:val="0024418D"/>
    <w:rsid w:val="00244E43"/>
    <w:rsid w:val="002459C4"/>
    <w:rsid w:val="002513F7"/>
    <w:rsid w:val="002514F8"/>
    <w:rsid w:val="00251CDB"/>
    <w:rsid w:val="002525ED"/>
    <w:rsid w:val="002552B4"/>
    <w:rsid w:val="002555EA"/>
    <w:rsid w:val="002561CE"/>
    <w:rsid w:val="0026140C"/>
    <w:rsid w:val="00261B62"/>
    <w:rsid w:val="00262882"/>
    <w:rsid w:val="00265197"/>
    <w:rsid w:val="00265B73"/>
    <w:rsid w:val="00265D9B"/>
    <w:rsid w:val="00267872"/>
    <w:rsid w:val="00273881"/>
    <w:rsid w:val="0027544C"/>
    <w:rsid w:val="00275E66"/>
    <w:rsid w:val="00275F71"/>
    <w:rsid w:val="002779D1"/>
    <w:rsid w:val="002828EE"/>
    <w:rsid w:val="002829C1"/>
    <w:rsid w:val="00283FBB"/>
    <w:rsid w:val="00287B17"/>
    <w:rsid w:val="00290068"/>
    <w:rsid w:val="00292DAF"/>
    <w:rsid w:val="002955EE"/>
    <w:rsid w:val="0029615C"/>
    <w:rsid w:val="002A02E8"/>
    <w:rsid w:val="002A3416"/>
    <w:rsid w:val="002A3923"/>
    <w:rsid w:val="002A44CA"/>
    <w:rsid w:val="002A576C"/>
    <w:rsid w:val="002A6840"/>
    <w:rsid w:val="002B0B19"/>
    <w:rsid w:val="002B1266"/>
    <w:rsid w:val="002B297B"/>
    <w:rsid w:val="002B2A08"/>
    <w:rsid w:val="002B5DC8"/>
    <w:rsid w:val="002C7BE4"/>
    <w:rsid w:val="002D23E3"/>
    <w:rsid w:val="002D3966"/>
    <w:rsid w:val="002D3A06"/>
    <w:rsid w:val="002D557F"/>
    <w:rsid w:val="002E57DC"/>
    <w:rsid w:val="002E6657"/>
    <w:rsid w:val="002E6A25"/>
    <w:rsid w:val="002E6A3C"/>
    <w:rsid w:val="002E6E9C"/>
    <w:rsid w:val="002F0CDC"/>
    <w:rsid w:val="003024BE"/>
    <w:rsid w:val="0030495D"/>
    <w:rsid w:val="0030530F"/>
    <w:rsid w:val="003072FC"/>
    <w:rsid w:val="0030743D"/>
    <w:rsid w:val="003076FA"/>
    <w:rsid w:val="00310231"/>
    <w:rsid w:val="00310E73"/>
    <w:rsid w:val="003139BB"/>
    <w:rsid w:val="0031442F"/>
    <w:rsid w:val="00315019"/>
    <w:rsid w:val="00315289"/>
    <w:rsid w:val="00317436"/>
    <w:rsid w:val="0032222C"/>
    <w:rsid w:val="00324AAE"/>
    <w:rsid w:val="003312E6"/>
    <w:rsid w:val="0033738B"/>
    <w:rsid w:val="00337C77"/>
    <w:rsid w:val="00337C8E"/>
    <w:rsid w:val="0034000A"/>
    <w:rsid w:val="00341483"/>
    <w:rsid w:val="00341BFF"/>
    <w:rsid w:val="003435F7"/>
    <w:rsid w:val="00346B98"/>
    <w:rsid w:val="003470CA"/>
    <w:rsid w:val="00350443"/>
    <w:rsid w:val="00352D64"/>
    <w:rsid w:val="00353DB3"/>
    <w:rsid w:val="0035512A"/>
    <w:rsid w:val="00356235"/>
    <w:rsid w:val="00360329"/>
    <w:rsid w:val="00361425"/>
    <w:rsid w:val="00363BD0"/>
    <w:rsid w:val="00365C19"/>
    <w:rsid w:val="003666A2"/>
    <w:rsid w:val="0036716D"/>
    <w:rsid w:val="00370AA1"/>
    <w:rsid w:val="003719C8"/>
    <w:rsid w:val="003728B5"/>
    <w:rsid w:val="00372A1A"/>
    <w:rsid w:val="00383B1B"/>
    <w:rsid w:val="00390842"/>
    <w:rsid w:val="00390F9A"/>
    <w:rsid w:val="00391646"/>
    <w:rsid w:val="003932B0"/>
    <w:rsid w:val="00394064"/>
    <w:rsid w:val="00395580"/>
    <w:rsid w:val="00397B27"/>
    <w:rsid w:val="003A0BFD"/>
    <w:rsid w:val="003A0E15"/>
    <w:rsid w:val="003A1B0D"/>
    <w:rsid w:val="003A1FDB"/>
    <w:rsid w:val="003A21BB"/>
    <w:rsid w:val="003A76A0"/>
    <w:rsid w:val="003B0D06"/>
    <w:rsid w:val="003B11B2"/>
    <w:rsid w:val="003B1E15"/>
    <w:rsid w:val="003B3E4E"/>
    <w:rsid w:val="003C0407"/>
    <w:rsid w:val="003C227F"/>
    <w:rsid w:val="003C3F5B"/>
    <w:rsid w:val="003C5EDB"/>
    <w:rsid w:val="003D68D5"/>
    <w:rsid w:val="003E282A"/>
    <w:rsid w:val="003E4562"/>
    <w:rsid w:val="003E5044"/>
    <w:rsid w:val="003E52CB"/>
    <w:rsid w:val="003F205A"/>
    <w:rsid w:val="003F373C"/>
    <w:rsid w:val="003F37FA"/>
    <w:rsid w:val="003F3A05"/>
    <w:rsid w:val="003F44E0"/>
    <w:rsid w:val="003F629F"/>
    <w:rsid w:val="003F71B7"/>
    <w:rsid w:val="00407889"/>
    <w:rsid w:val="00410CB2"/>
    <w:rsid w:val="00411B9B"/>
    <w:rsid w:val="0041372D"/>
    <w:rsid w:val="004151DA"/>
    <w:rsid w:val="00415EE2"/>
    <w:rsid w:val="00417098"/>
    <w:rsid w:val="0041772E"/>
    <w:rsid w:val="0042319F"/>
    <w:rsid w:val="00423D91"/>
    <w:rsid w:val="00433216"/>
    <w:rsid w:val="00434082"/>
    <w:rsid w:val="00435D25"/>
    <w:rsid w:val="004376B3"/>
    <w:rsid w:val="00437F7F"/>
    <w:rsid w:val="0044371B"/>
    <w:rsid w:val="00451404"/>
    <w:rsid w:val="00453A18"/>
    <w:rsid w:val="0045476A"/>
    <w:rsid w:val="00454C8E"/>
    <w:rsid w:val="00456742"/>
    <w:rsid w:val="00462102"/>
    <w:rsid w:val="004666F0"/>
    <w:rsid w:val="00470CD7"/>
    <w:rsid w:val="00472CCE"/>
    <w:rsid w:val="0047300A"/>
    <w:rsid w:val="00477170"/>
    <w:rsid w:val="00480141"/>
    <w:rsid w:val="00480BC9"/>
    <w:rsid w:val="00481D9A"/>
    <w:rsid w:val="00482AE3"/>
    <w:rsid w:val="0048360D"/>
    <w:rsid w:val="00485EEF"/>
    <w:rsid w:val="00486CFF"/>
    <w:rsid w:val="00491327"/>
    <w:rsid w:val="00491C94"/>
    <w:rsid w:val="00492CBE"/>
    <w:rsid w:val="00492DFF"/>
    <w:rsid w:val="004A6A7D"/>
    <w:rsid w:val="004B07B3"/>
    <w:rsid w:val="004B154F"/>
    <w:rsid w:val="004B2752"/>
    <w:rsid w:val="004B2816"/>
    <w:rsid w:val="004B35B7"/>
    <w:rsid w:val="004C0C10"/>
    <w:rsid w:val="004C1003"/>
    <w:rsid w:val="004C15C7"/>
    <w:rsid w:val="004C20D9"/>
    <w:rsid w:val="004C3F7D"/>
    <w:rsid w:val="004C40EF"/>
    <w:rsid w:val="004C4DE8"/>
    <w:rsid w:val="004C536D"/>
    <w:rsid w:val="004C70A3"/>
    <w:rsid w:val="004D1447"/>
    <w:rsid w:val="004D5460"/>
    <w:rsid w:val="004D5C2F"/>
    <w:rsid w:val="004D6091"/>
    <w:rsid w:val="004D6CAF"/>
    <w:rsid w:val="004E1733"/>
    <w:rsid w:val="004E2ACE"/>
    <w:rsid w:val="004E364D"/>
    <w:rsid w:val="004E49E1"/>
    <w:rsid w:val="004E570A"/>
    <w:rsid w:val="004E654E"/>
    <w:rsid w:val="004E68B1"/>
    <w:rsid w:val="004E68E1"/>
    <w:rsid w:val="004E6BB0"/>
    <w:rsid w:val="004E778B"/>
    <w:rsid w:val="004F0C5E"/>
    <w:rsid w:val="004F16DD"/>
    <w:rsid w:val="004F2A46"/>
    <w:rsid w:val="004F4053"/>
    <w:rsid w:val="004F42C1"/>
    <w:rsid w:val="004F648B"/>
    <w:rsid w:val="004F69C0"/>
    <w:rsid w:val="005028F4"/>
    <w:rsid w:val="00503347"/>
    <w:rsid w:val="00506D8C"/>
    <w:rsid w:val="0051137B"/>
    <w:rsid w:val="00511F54"/>
    <w:rsid w:val="00512CC2"/>
    <w:rsid w:val="00516C7E"/>
    <w:rsid w:val="00517D90"/>
    <w:rsid w:val="00521377"/>
    <w:rsid w:val="00525ACE"/>
    <w:rsid w:val="00526DB5"/>
    <w:rsid w:val="00527586"/>
    <w:rsid w:val="00527B6E"/>
    <w:rsid w:val="0053002B"/>
    <w:rsid w:val="00531267"/>
    <w:rsid w:val="005312B9"/>
    <w:rsid w:val="00534F62"/>
    <w:rsid w:val="00534F8E"/>
    <w:rsid w:val="00536AC2"/>
    <w:rsid w:val="005412FF"/>
    <w:rsid w:val="005426C0"/>
    <w:rsid w:val="00543D31"/>
    <w:rsid w:val="00544ADA"/>
    <w:rsid w:val="00546728"/>
    <w:rsid w:val="00551E23"/>
    <w:rsid w:val="0055367F"/>
    <w:rsid w:val="00554248"/>
    <w:rsid w:val="00555476"/>
    <w:rsid w:val="00556798"/>
    <w:rsid w:val="005567C2"/>
    <w:rsid w:val="00556F21"/>
    <w:rsid w:val="00560EA1"/>
    <w:rsid w:val="005655E2"/>
    <w:rsid w:val="00565723"/>
    <w:rsid w:val="00567F6D"/>
    <w:rsid w:val="00571443"/>
    <w:rsid w:val="00573BA6"/>
    <w:rsid w:val="00573C6A"/>
    <w:rsid w:val="00574E47"/>
    <w:rsid w:val="0057575C"/>
    <w:rsid w:val="00581259"/>
    <w:rsid w:val="005821DA"/>
    <w:rsid w:val="00582C60"/>
    <w:rsid w:val="00584CD4"/>
    <w:rsid w:val="00586562"/>
    <w:rsid w:val="00591C18"/>
    <w:rsid w:val="005925F3"/>
    <w:rsid w:val="00594946"/>
    <w:rsid w:val="00595B43"/>
    <w:rsid w:val="005964DF"/>
    <w:rsid w:val="00596DBA"/>
    <w:rsid w:val="005A364F"/>
    <w:rsid w:val="005A7E7A"/>
    <w:rsid w:val="005B0876"/>
    <w:rsid w:val="005B1D10"/>
    <w:rsid w:val="005B33BC"/>
    <w:rsid w:val="005B45FE"/>
    <w:rsid w:val="005B4662"/>
    <w:rsid w:val="005B7FEC"/>
    <w:rsid w:val="005C2456"/>
    <w:rsid w:val="005C2494"/>
    <w:rsid w:val="005C298A"/>
    <w:rsid w:val="005C3D2F"/>
    <w:rsid w:val="005C5F0B"/>
    <w:rsid w:val="005D32A6"/>
    <w:rsid w:val="005E2AB6"/>
    <w:rsid w:val="005E6A0D"/>
    <w:rsid w:val="005E7A77"/>
    <w:rsid w:val="005F22C8"/>
    <w:rsid w:val="005F3A88"/>
    <w:rsid w:val="005F467C"/>
    <w:rsid w:val="005F4FF7"/>
    <w:rsid w:val="006004A3"/>
    <w:rsid w:val="0060195C"/>
    <w:rsid w:val="00601C09"/>
    <w:rsid w:val="0060658A"/>
    <w:rsid w:val="006076FC"/>
    <w:rsid w:val="006132BE"/>
    <w:rsid w:val="00613AE6"/>
    <w:rsid w:val="00617406"/>
    <w:rsid w:val="006249BD"/>
    <w:rsid w:val="00625232"/>
    <w:rsid w:val="00625798"/>
    <w:rsid w:val="006303E8"/>
    <w:rsid w:val="00633FCC"/>
    <w:rsid w:val="00634600"/>
    <w:rsid w:val="00635189"/>
    <w:rsid w:val="006355EA"/>
    <w:rsid w:val="006369DD"/>
    <w:rsid w:val="00641309"/>
    <w:rsid w:val="00641962"/>
    <w:rsid w:val="0064215C"/>
    <w:rsid w:val="00643282"/>
    <w:rsid w:val="006432D8"/>
    <w:rsid w:val="00644041"/>
    <w:rsid w:val="00644CAA"/>
    <w:rsid w:val="00646EEA"/>
    <w:rsid w:val="006507C0"/>
    <w:rsid w:val="0066427A"/>
    <w:rsid w:val="0066530B"/>
    <w:rsid w:val="00665B65"/>
    <w:rsid w:val="0067059F"/>
    <w:rsid w:val="00670E59"/>
    <w:rsid w:val="00671CDE"/>
    <w:rsid w:val="006722B8"/>
    <w:rsid w:val="00673CFD"/>
    <w:rsid w:val="00673F90"/>
    <w:rsid w:val="0067425A"/>
    <w:rsid w:val="00675105"/>
    <w:rsid w:val="0067516C"/>
    <w:rsid w:val="006779DD"/>
    <w:rsid w:val="0068013A"/>
    <w:rsid w:val="00683017"/>
    <w:rsid w:val="00683806"/>
    <w:rsid w:val="00686E25"/>
    <w:rsid w:val="00690BCA"/>
    <w:rsid w:val="00691C59"/>
    <w:rsid w:val="00695C34"/>
    <w:rsid w:val="00695C47"/>
    <w:rsid w:val="0069708D"/>
    <w:rsid w:val="006A49FD"/>
    <w:rsid w:val="006A5939"/>
    <w:rsid w:val="006B1066"/>
    <w:rsid w:val="006B39B5"/>
    <w:rsid w:val="006B4A0B"/>
    <w:rsid w:val="006B660F"/>
    <w:rsid w:val="006C0678"/>
    <w:rsid w:val="006C4C0F"/>
    <w:rsid w:val="006D0C28"/>
    <w:rsid w:val="006D3D45"/>
    <w:rsid w:val="006D7B0C"/>
    <w:rsid w:val="006E04EC"/>
    <w:rsid w:val="006F140E"/>
    <w:rsid w:val="006F74D4"/>
    <w:rsid w:val="00700786"/>
    <w:rsid w:val="00701454"/>
    <w:rsid w:val="007025A4"/>
    <w:rsid w:val="00705A6C"/>
    <w:rsid w:val="00712356"/>
    <w:rsid w:val="00717A07"/>
    <w:rsid w:val="00723C42"/>
    <w:rsid w:val="00724DA3"/>
    <w:rsid w:val="00724F6B"/>
    <w:rsid w:val="00724FF6"/>
    <w:rsid w:val="007250D4"/>
    <w:rsid w:val="00725FEB"/>
    <w:rsid w:val="007261F9"/>
    <w:rsid w:val="00727640"/>
    <w:rsid w:val="00731769"/>
    <w:rsid w:val="00731EA4"/>
    <w:rsid w:val="0073240F"/>
    <w:rsid w:val="007363FA"/>
    <w:rsid w:val="00736B61"/>
    <w:rsid w:val="00737A62"/>
    <w:rsid w:val="0074392D"/>
    <w:rsid w:val="00743ADD"/>
    <w:rsid w:val="0074480B"/>
    <w:rsid w:val="007500B8"/>
    <w:rsid w:val="0075260F"/>
    <w:rsid w:val="00752625"/>
    <w:rsid w:val="007549F3"/>
    <w:rsid w:val="00755508"/>
    <w:rsid w:val="007558AF"/>
    <w:rsid w:val="00756724"/>
    <w:rsid w:val="00760B63"/>
    <w:rsid w:val="00762022"/>
    <w:rsid w:val="007624E7"/>
    <w:rsid w:val="007649A3"/>
    <w:rsid w:val="007706B8"/>
    <w:rsid w:val="00771B27"/>
    <w:rsid w:val="00772EB2"/>
    <w:rsid w:val="00773CFD"/>
    <w:rsid w:val="007749A2"/>
    <w:rsid w:val="007758A7"/>
    <w:rsid w:val="00777F99"/>
    <w:rsid w:val="007819F5"/>
    <w:rsid w:val="00784A30"/>
    <w:rsid w:val="00785826"/>
    <w:rsid w:val="00786C45"/>
    <w:rsid w:val="0079029C"/>
    <w:rsid w:val="007903C8"/>
    <w:rsid w:val="00791F5A"/>
    <w:rsid w:val="007A0391"/>
    <w:rsid w:val="007A1C47"/>
    <w:rsid w:val="007A48BD"/>
    <w:rsid w:val="007A5580"/>
    <w:rsid w:val="007B7B7E"/>
    <w:rsid w:val="007C3732"/>
    <w:rsid w:val="007C3F5C"/>
    <w:rsid w:val="007C4ABD"/>
    <w:rsid w:val="007C5261"/>
    <w:rsid w:val="007C7082"/>
    <w:rsid w:val="007D06E7"/>
    <w:rsid w:val="007D2DC5"/>
    <w:rsid w:val="007D3AC8"/>
    <w:rsid w:val="007D43EE"/>
    <w:rsid w:val="007D4658"/>
    <w:rsid w:val="007D5FFA"/>
    <w:rsid w:val="007D6001"/>
    <w:rsid w:val="007D635D"/>
    <w:rsid w:val="007E0404"/>
    <w:rsid w:val="007E0BE2"/>
    <w:rsid w:val="007E25C7"/>
    <w:rsid w:val="007E4556"/>
    <w:rsid w:val="007E4F89"/>
    <w:rsid w:val="007E5A90"/>
    <w:rsid w:val="007F0631"/>
    <w:rsid w:val="007F39F6"/>
    <w:rsid w:val="007F4C36"/>
    <w:rsid w:val="007F602B"/>
    <w:rsid w:val="007F73CE"/>
    <w:rsid w:val="008013FA"/>
    <w:rsid w:val="00807D5B"/>
    <w:rsid w:val="00810AA2"/>
    <w:rsid w:val="00812138"/>
    <w:rsid w:val="00813816"/>
    <w:rsid w:val="00815913"/>
    <w:rsid w:val="00816500"/>
    <w:rsid w:val="00820957"/>
    <w:rsid w:val="00820B61"/>
    <w:rsid w:val="00820ECA"/>
    <w:rsid w:val="00821744"/>
    <w:rsid w:val="00823EBB"/>
    <w:rsid w:val="008272C7"/>
    <w:rsid w:val="008304A6"/>
    <w:rsid w:val="00830C30"/>
    <w:rsid w:val="00831946"/>
    <w:rsid w:val="008319CC"/>
    <w:rsid w:val="00834640"/>
    <w:rsid w:val="00835B6B"/>
    <w:rsid w:val="00837365"/>
    <w:rsid w:val="00837E8B"/>
    <w:rsid w:val="00847F39"/>
    <w:rsid w:val="00854FF9"/>
    <w:rsid w:val="00855425"/>
    <w:rsid w:val="0085565F"/>
    <w:rsid w:val="008569C4"/>
    <w:rsid w:val="00857772"/>
    <w:rsid w:val="008601FD"/>
    <w:rsid w:val="00861CE0"/>
    <w:rsid w:val="0086535D"/>
    <w:rsid w:val="00870C11"/>
    <w:rsid w:val="00875F99"/>
    <w:rsid w:val="00877F55"/>
    <w:rsid w:val="008807A4"/>
    <w:rsid w:val="0088098A"/>
    <w:rsid w:val="00881D85"/>
    <w:rsid w:val="008841BC"/>
    <w:rsid w:val="00884290"/>
    <w:rsid w:val="0088556B"/>
    <w:rsid w:val="00886D5A"/>
    <w:rsid w:val="00886FB0"/>
    <w:rsid w:val="00887694"/>
    <w:rsid w:val="008924C4"/>
    <w:rsid w:val="008930DA"/>
    <w:rsid w:val="008935E4"/>
    <w:rsid w:val="00893DBD"/>
    <w:rsid w:val="008969F7"/>
    <w:rsid w:val="008977AE"/>
    <w:rsid w:val="008A1727"/>
    <w:rsid w:val="008A27A6"/>
    <w:rsid w:val="008A2E24"/>
    <w:rsid w:val="008A4C9C"/>
    <w:rsid w:val="008A659E"/>
    <w:rsid w:val="008A6A09"/>
    <w:rsid w:val="008B37CF"/>
    <w:rsid w:val="008B76B8"/>
    <w:rsid w:val="008C057E"/>
    <w:rsid w:val="008C3574"/>
    <w:rsid w:val="008C5822"/>
    <w:rsid w:val="008D0ACC"/>
    <w:rsid w:val="008D415E"/>
    <w:rsid w:val="008D5349"/>
    <w:rsid w:val="008E1F17"/>
    <w:rsid w:val="008E2470"/>
    <w:rsid w:val="008E3262"/>
    <w:rsid w:val="008E4881"/>
    <w:rsid w:val="008E4C04"/>
    <w:rsid w:val="008E57B7"/>
    <w:rsid w:val="008E7878"/>
    <w:rsid w:val="008F132D"/>
    <w:rsid w:val="008F2D42"/>
    <w:rsid w:val="008F447A"/>
    <w:rsid w:val="008F48A2"/>
    <w:rsid w:val="008F7F58"/>
    <w:rsid w:val="009010DF"/>
    <w:rsid w:val="00902A6B"/>
    <w:rsid w:val="009054A7"/>
    <w:rsid w:val="0090557A"/>
    <w:rsid w:val="00906590"/>
    <w:rsid w:val="009075A5"/>
    <w:rsid w:val="0091010F"/>
    <w:rsid w:val="00910622"/>
    <w:rsid w:val="00910820"/>
    <w:rsid w:val="00911164"/>
    <w:rsid w:val="0091155F"/>
    <w:rsid w:val="00911E1E"/>
    <w:rsid w:val="0091424E"/>
    <w:rsid w:val="009152F6"/>
    <w:rsid w:val="00917105"/>
    <w:rsid w:val="00923676"/>
    <w:rsid w:val="00926462"/>
    <w:rsid w:val="00926A2E"/>
    <w:rsid w:val="009309E7"/>
    <w:rsid w:val="009339CF"/>
    <w:rsid w:val="009368D5"/>
    <w:rsid w:val="0094127D"/>
    <w:rsid w:val="00943D6E"/>
    <w:rsid w:val="00945BE9"/>
    <w:rsid w:val="0094628D"/>
    <w:rsid w:val="009467A7"/>
    <w:rsid w:val="00950B4D"/>
    <w:rsid w:val="009520BB"/>
    <w:rsid w:val="009533E5"/>
    <w:rsid w:val="00954066"/>
    <w:rsid w:val="00954ADA"/>
    <w:rsid w:val="00955868"/>
    <w:rsid w:val="0096098F"/>
    <w:rsid w:val="00960D09"/>
    <w:rsid w:val="00961685"/>
    <w:rsid w:val="00970187"/>
    <w:rsid w:val="009705E6"/>
    <w:rsid w:val="009711DB"/>
    <w:rsid w:val="00972857"/>
    <w:rsid w:val="00973448"/>
    <w:rsid w:val="009735E8"/>
    <w:rsid w:val="0097370D"/>
    <w:rsid w:val="00973B2F"/>
    <w:rsid w:val="00974F6B"/>
    <w:rsid w:val="009822CC"/>
    <w:rsid w:val="0098260C"/>
    <w:rsid w:val="009839D2"/>
    <w:rsid w:val="00983BFA"/>
    <w:rsid w:val="00984805"/>
    <w:rsid w:val="00987DFC"/>
    <w:rsid w:val="00990A96"/>
    <w:rsid w:val="00990D6F"/>
    <w:rsid w:val="0099256D"/>
    <w:rsid w:val="0099299B"/>
    <w:rsid w:val="00992D09"/>
    <w:rsid w:val="00993873"/>
    <w:rsid w:val="00993B67"/>
    <w:rsid w:val="00993BC2"/>
    <w:rsid w:val="00996D97"/>
    <w:rsid w:val="009A0ED9"/>
    <w:rsid w:val="009A595C"/>
    <w:rsid w:val="009B06D7"/>
    <w:rsid w:val="009B6EE6"/>
    <w:rsid w:val="009B7620"/>
    <w:rsid w:val="009C190A"/>
    <w:rsid w:val="009C2A2D"/>
    <w:rsid w:val="009C3A75"/>
    <w:rsid w:val="009C40C1"/>
    <w:rsid w:val="009C4545"/>
    <w:rsid w:val="009C5164"/>
    <w:rsid w:val="009C5902"/>
    <w:rsid w:val="009D4405"/>
    <w:rsid w:val="009D649E"/>
    <w:rsid w:val="009D77B9"/>
    <w:rsid w:val="009E1F42"/>
    <w:rsid w:val="009E451F"/>
    <w:rsid w:val="009E4C1A"/>
    <w:rsid w:val="009E5AEA"/>
    <w:rsid w:val="009F2727"/>
    <w:rsid w:val="00A0485B"/>
    <w:rsid w:val="00A063D9"/>
    <w:rsid w:val="00A10100"/>
    <w:rsid w:val="00A12B7F"/>
    <w:rsid w:val="00A134F8"/>
    <w:rsid w:val="00A141E6"/>
    <w:rsid w:val="00A15B07"/>
    <w:rsid w:val="00A15D5A"/>
    <w:rsid w:val="00A172C5"/>
    <w:rsid w:val="00A21D91"/>
    <w:rsid w:val="00A25A84"/>
    <w:rsid w:val="00A27068"/>
    <w:rsid w:val="00A31393"/>
    <w:rsid w:val="00A3222D"/>
    <w:rsid w:val="00A35AC0"/>
    <w:rsid w:val="00A36417"/>
    <w:rsid w:val="00A3776E"/>
    <w:rsid w:val="00A42447"/>
    <w:rsid w:val="00A432A2"/>
    <w:rsid w:val="00A473D1"/>
    <w:rsid w:val="00A47D3B"/>
    <w:rsid w:val="00A53322"/>
    <w:rsid w:val="00A53CDF"/>
    <w:rsid w:val="00A54882"/>
    <w:rsid w:val="00A56098"/>
    <w:rsid w:val="00A621E6"/>
    <w:rsid w:val="00A625B8"/>
    <w:rsid w:val="00A65292"/>
    <w:rsid w:val="00A71C23"/>
    <w:rsid w:val="00A73832"/>
    <w:rsid w:val="00A753AC"/>
    <w:rsid w:val="00A75591"/>
    <w:rsid w:val="00A77272"/>
    <w:rsid w:val="00A8147E"/>
    <w:rsid w:val="00A815AF"/>
    <w:rsid w:val="00A84467"/>
    <w:rsid w:val="00A878A7"/>
    <w:rsid w:val="00A917A5"/>
    <w:rsid w:val="00AA061E"/>
    <w:rsid w:val="00AA153B"/>
    <w:rsid w:val="00AA2F99"/>
    <w:rsid w:val="00AA40D4"/>
    <w:rsid w:val="00AA7C65"/>
    <w:rsid w:val="00AB1029"/>
    <w:rsid w:val="00AB2FD9"/>
    <w:rsid w:val="00AC1E74"/>
    <w:rsid w:val="00AD478E"/>
    <w:rsid w:val="00AD5BA4"/>
    <w:rsid w:val="00AD774E"/>
    <w:rsid w:val="00AD7D35"/>
    <w:rsid w:val="00AE0807"/>
    <w:rsid w:val="00AE221B"/>
    <w:rsid w:val="00AE73C4"/>
    <w:rsid w:val="00AE7FAE"/>
    <w:rsid w:val="00AF16D5"/>
    <w:rsid w:val="00AF36A6"/>
    <w:rsid w:val="00AF3FE2"/>
    <w:rsid w:val="00AF5D63"/>
    <w:rsid w:val="00AF686D"/>
    <w:rsid w:val="00AF6F49"/>
    <w:rsid w:val="00AF7BFB"/>
    <w:rsid w:val="00B012EE"/>
    <w:rsid w:val="00B03E0C"/>
    <w:rsid w:val="00B04C0B"/>
    <w:rsid w:val="00B05518"/>
    <w:rsid w:val="00B067A0"/>
    <w:rsid w:val="00B06DA2"/>
    <w:rsid w:val="00B0764E"/>
    <w:rsid w:val="00B0771C"/>
    <w:rsid w:val="00B12D7F"/>
    <w:rsid w:val="00B148BD"/>
    <w:rsid w:val="00B227C3"/>
    <w:rsid w:val="00B23B8C"/>
    <w:rsid w:val="00B2429E"/>
    <w:rsid w:val="00B2787A"/>
    <w:rsid w:val="00B308F4"/>
    <w:rsid w:val="00B312D7"/>
    <w:rsid w:val="00B33518"/>
    <w:rsid w:val="00B338C6"/>
    <w:rsid w:val="00B36630"/>
    <w:rsid w:val="00B37E9E"/>
    <w:rsid w:val="00B4088C"/>
    <w:rsid w:val="00B415B6"/>
    <w:rsid w:val="00B4574C"/>
    <w:rsid w:val="00B53E35"/>
    <w:rsid w:val="00B5569E"/>
    <w:rsid w:val="00B569F6"/>
    <w:rsid w:val="00B6094C"/>
    <w:rsid w:val="00B630E7"/>
    <w:rsid w:val="00B647EB"/>
    <w:rsid w:val="00B64FD2"/>
    <w:rsid w:val="00B663DF"/>
    <w:rsid w:val="00B66D57"/>
    <w:rsid w:val="00B67BB2"/>
    <w:rsid w:val="00B73228"/>
    <w:rsid w:val="00B74C25"/>
    <w:rsid w:val="00B75847"/>
    <w:rsid w:val="00B7599E"/>
    <w:rsid w:val="00B777FA"/>
    <w:rsid w:val="00B8110C"/>
    <w:rsid w:val="00B81192"/>
    <w:rsid w:val="00B818E5"/>
    <w:rsid w:val="00B870D2"/>
    <w:rsid w:val="00B90B20"/>
    <w:rsid w:val="00B93C92"/>
    <w:rsid w:val="00B95AB6"/>
    <w:rsid w:val="00BA43D7"/>
    <w:rsid w:val="00BA66B8"/>
    <w:rsid w:val="00BA712A"/>
    <w:rsid w:val="00BB0FEB"/>
    <w:rsid w:val="00BB3093"/>
    <w:rsid w:val="00BB3464"/>
    <w:rsid w:val="00BB7763"/>
    <w:rsid w:val="00BC3D54"/>
    <w:rsid w:val="00BC44CF"/>
    <w:rsid w:val="00BD5ED4"/>
    <w:rsid w:val="00BD621A"/>
    <w:rsid w:val="00BE47A8"/>
    <w:rsid w:val="00BE5E7C"/>
    <w:rsid w:val="00BE6D42"/>
    <w:rsid w:val="00BF38AD"/>
    <w:rsid w:val="00BF464D"/>
    <w:rsid w:val="00BF62CE"/>
    <w:rsid w:val="00BF6974"/>
    <w:rsid w:val="00C00BF6"/>
    <w:rsid w:val="00C014BA"/>
    <w:rsid w:val="00C025B2"/>
    <w:rsid w:val="00C063F6"/>
    <w:rsid w:val="00C127B6"/>
    <w:rsid w:val="00C12C08"/>
    <w:rsid w:val="00C13CDA"/>
    <w:rsid w:val="00C14C79"/>
    <w:rsid w:val="00C152B2"/>
    <w:rsid w:val="00C16150"/>
    <w:rsid w:val="00C17547"/>
    <w:rsid w:val="00C17684"/>
    <w:rsid w:val="00C21B58"/>
    <w:rsid w:val="00C236F5"/>
    <w:rsid w:val="00C260DD"/>
    <w:rsid w:val="00C26D33"/>
    <w:rsid w:val="00C277D6"/>
    <w:rsid w:val="00C325D0"/>
    <w:rsid w:val="00C34586"/>
    <w:rsid w:val="00C350A6"/>
    <w:rsid w:val="00C364B9"/>
    <w:rsid w:val="00C42F5D"/>
    <w:rsid w:val="00C456E9"/>
    <w:rsid w:val="00C4648D"/>
    <w:rsid w:val="00C471AB"/>
    <w:rsid w:val="00C47CF5"/>
    <w:rsid w:val="00C5101B"/>
    <w:rsid w:val="00C531F6"/>
    <w:rsid w:val="00C56E23"/>
    <w:rsid w:val="00C56E62"/>
    <w:rsid w:val="00C579C9"/>
    <w:rsid w:val="00C57FE6"/>
    <w:rsid w:val="00C61B4F"/>
    <w:rsid w:val="00C62796"/>
    <w:rsid w:val="00C62ACD"/>
    <w:rsid w:val="00C635D1"/>
    <w:rsid w:val="00C66F2F"/>
    <w:rsid w:val="00C741CE"/>
    <w:rsid w:val="00C741FF"/>
    <w:rsid w:val="00C7783C"/>
    <w:rsid w:val="00C77FB7"/>
    <w:rsid w:val="00C82337"/>
    <w:rsid w:val="00C925C0"/>
    <w:rsid w:val="00C93391"/>
    <w:rsid w:val="00C93889"/>
    <w:rsid w:val="00C9594C"/>
    <w:rsid w:val="00CA3E91"/>
    <w:rsid w:val="00CB01DA"/>
    <w:rsid w:val="00CB1080"/>
    <w:rsid w:val="00CB1CB4"/>
    <w:rsid w:val="00CB25BD"/>
    <w:rsid w:val="00CC0EB2"/>
    <w:rsid w:val="00CC660E"/>
    <w:rsid w:val="00CC7D43"/>
    <w:rsid w:val="00CD04C8"/>
    <w:rsid w:val="00CD069D"/>
    <w:rsid w:val="00CD5593"/>
    <w:rsid w:val="00CD69C9"/>
    <w:rsid w:val="00CE1425"/>
    <w:rsid w:val="00CE5D6D"/>
    <w:rsid w:val="00CE6144"/>
    <w:rsid w:val="00CE627E"/>
    <w:rsid w:val="00CE652C"/>
    <w:rsid w:val="00CE7FDC"/>
    <w:rsid w:val="00CF0873"/>
    <w:rsid w:val="00CF1DFC"/>
    <w:rsid w:val="00D009EB"/>
    <w:rsid w:val="00D04B84"/>
    <w:rsid w:val="00D0684A"/>
    <w:rsid w:val="00D10C6A"/>
    <w:rsid w:val="00D15395"/>
    <w:rsid w:val="00D1558E"/>
    <w:rsid w:val="00D17665"/>
    <w:rsid w:val="00D255BE"/>
    <w:rsid w:val="00D260C2"/>
    <w:rsid w:val="00D30603"/>
    <w:rsid w:val="00D3085D"/>
    <w:rsid w:val="00D30B09"/>
    <w:rsid w:val="00D349AA"/>
    <w:rsid w:val="00D361EF"/>
    <w:rsid w:val="00D37062"/>
    <w:rsid w:val="00D4003E"/>
    <w:rsid w:val="00D43A7C"/>
    <w:rsid w:val="00D44EDB"/>
    <w:rsid w:val="00D45E3F"/>
    <w:rsid w:val="00D51813"/>
    <w:rsid w:val="00D51DE1"/>
    <w:rsid w:val="00D53B1D"/>
    <w:rsid w:val="00D610A1"/>
    <w:rsid w:val="00D620ED"/>
    <w:rsid w:val="00D62937"/>
    <w:rsid w:val="00D633A4"/>
    <w:rsid w:val="00D663B6"/>
    <w:rsid w:val="00D67AD1"/>
    <w:rsid w:val="00D701A0"/>
    <w:rsid w:val="00D729B7"/>
    <w:rsid w:val="00D73387"/>
    <w:rsid w:val="00D73EC8"/>
    <w:rsid w:val="00D75778"/>
    <w:rsid w:val="00D77461"/>
    <w:rsid w:val="00D80C7F"/>
    <w:rsid w:val="00D82B11"/>
    <w:rsid w:val="00D84859"/>
    <w:rsid w:val="00D87BF0"/>
    <w:rsid w:val="00D92C3F"/>
    <w:rsid w:val="00DA1F31"/>
    <w:rsid w:val="00DA4689"/>
    <w:rsid w:val="00DA7895"/>
    <w:rsid w:val="00DB1E1C"/>
    <w:rsid w:val="00DB426B"/>
    <w:rsid w:val="00DB53A8"/>
    <w:rsid w:val="00DB5F1D"/>
    <w:rsid w:val="00DC0D8C"/>
    <w:rsid w:val="00DC1FA8"/>
    <w:rsid w:val="00DC2437"/>
    <w:rsid w:val="00DC6A40"/>
    <w:rsid w:val="00DC7F1B"/>
    <w:rsid w:val="00DD1CDB"/>
    <w:rsid w:val="00DD61DF"/>
    <w:rsid w:val="00DE0DCB"/>
    <w:rsid w:val="00DE10AA"/>
    <w:rsid w:val="00DE1547"/>
    <w:rsid w:val="00DE28D9"/>
    <w:rsid w:val="00DE28FA"/>
    <w:rsid w:val="00DE39E2"/>
    <w:rsid w:val="00DE4896"/>
    <w:rsid w:val="00DE52C8"/>
    <w:rsid w:val="00DF021E"/>
    <w:rsid w:val="00DF054C"/>
    <w:rsid w:val="00DF2555"/>
    <w:rsid w:val="00DF4804"/>
    <w:rsid w:val="00DF5F4F"/>
    <w:rsid w:val="00DF7716"/>
    <w:rsid w:val="00E00A4A"/>
    <w:rsid w:val="00E0224F"/>
    <w:rsid w:val="00E02672"/>
    <w:rsid w:val="00E02BEB"/>
    <w:rsid w:val="00E074C0"/>
    <w:rsid w:val="00E07C9D"/>
    <w:rsid w:val="00E128A8"/>
    <w:rsid w:val="00E14076"/>
    <w:rsid w:val="00E14626"/>
    <w:rsid w:val="00E147BF"/>
    <w:rsid w:val="00E1493A"/>
    <w:rsid w:val="00E17AFB"/>
    <w:rsid w:val="00E17E17"/>
    <w:rsid w:val="00E22D22"/>
    <w:rsid w:val="00E24140"/>
    <w:rsid w:val="00E25B17"/>
    <w:rsid w:val="00E25F33"/>
    <w:rsid w:val="00E2620B"/>
    <w:rsid w:val="00E307C2"/>
    <w:rsid w:val="00E3108C"/>
    <w:rsid w:val="00E326BD"/>
    <w:rsid w:val="00E347E7"/>
    <w:rsid w:val="00E35C98"/>
    <w:rsid w:val="00E35E9B"/>
    <w:rsid w:val="00E36900"/>
    <w:rsid w:val="00E41955"/>
    <w:rsid w:val="00E429D3"/>
    <w:rsid w:val="00E44508"/>
    <w:rsid w:val="00E462F6"/>
    <w:rsid w:val="00E56B7A"/>
    <w:rsid w:val="00E57AE5"/>
    <w:rsid w:val="00E57FBA"/>
    <w:rsid w:val="00E61CA1"/>
    <w:rsid w:val="00E635D2"/>
    <w:rsid w:val="00E63C43"/>
    <w:rsid w:val="00E646EB"/>
    <w:rsid w:val="00E64B45"/>
    <w:rsid w:val="00E6549F"/>
    <w:rsid w:val="00E65D44"/>
    <w:rsid w:val="00E75289"/>
    <w:rsid w:val="00E80DA0"/>
    <w:rsid w:val="00E8465B"/>
    <w:rsid w:val="00E85D88"/>
    <w:rsid w:val="00E8726A"/>
    <w:rsid w:val="00E876AA"/>
    <w:rsid w:val="00E87906"/>
    <w:rsid w:val="00E9174A"/>
    <w:rsid w:val="00E92E46"/>
    <w:rsid w:val="00EA0AF7"/>
    <w:rsid w:val="00EA3237"/>
    <w:rsid w:val="00EA598B"/>
    <w:rsid w:val="00EA677B"/>
    <w:rsid w:val="00EA77A1"/>
    <w:rsid w:val="00EA7963"/>
    <w:rsid w:val="00EB0DC8"/>
    <w:rsid w:val="00EC0AFC"/>
    <w:rsid w:val="00EC1FDF"/>
    <w:rsid w:val="00EC4679"/>
    <w:rsid w:val="00EC75DA"/>
    <w:rsid w:val="00ED0D34"/>
    <w:rsid w:val="00ED24BF"/>
    <w:rsid w:val="00ED4BF9"/>
    <w:rsid w:val="00ED5A72"/>
    <w:rsid w:val="00ED5B95"/>
    <w:rsid w:val="00ED7A1C"/>
    <w:rsid w:val="00EE3E16"/>
    <w:rsid w:val="00EE4193"/>
    <w:rsid w:val="00EE584C"/>
    <w:rsid w:val="00EE6342"/>
    <w:rsid w:val="00EF2368"/>
    <w:rsid w:val="00EF2917"/>
    <w:rsid w:val="00EF30F9"/>
    <w:rsid w:val="00EF6FD2"/>
    <w:rsid w:val="00EF7021"/>
    <w:rsid w:val="00F00524"/>
    <w:rsid w:val="00F03DAA"/>
    <w:rsid w:val="00F06F37"/>
    <w:rsid w:val="00F07408"/>
    <w:rsid w:val="00F078C3"/>
    <w:rsid w:val="00F12C47"/>
    <w:rsid w:val="00F1425F"/>
    <w:rsid w:val="00F14D8D"/>
    <w:rsid w:val="00F218BA"/>
    <w:rsid w:val="00F26921"/>
    <w:rsid w:val="00F2704A"/>
    <w:rsid w:val="00F34C02"/>
    <w:rsid w:val="00F37209"/>
    <w:rsid w:val="00F37495"/>
    <w:rsid w:val="00F431F9"/>
    <w:rsid w:val="00F43B93"/>
    <w:rsid w:val="00F4456C"/>
    <w:rsid w:val="00F45AFD"/>
    <w:rsid w:val="00F46C5C"/>
    <w:rsid w:val="00F47482"/>
    <w:rsid w:val="00F47942"/>
    <w:rsid w:val="00F50EE0"/>
    <w:rsid w:val="00F538D4"/>
    <w:rsid w:val="00F549FC"/>
    <w:rsid w:val="00F56509"/>
    <w:rsid w:val="00F6055F"/>
    <w:rsid w:val="00F60F35"/>
    <w:rsid w:val="00F62A3F"/>
    <w:rsid w:val="00F65C57"/>
    <w:rsid w:val="00F7153B"/>
    <w:rsid w:val="00F72A62"/>
    <w:rsid w:val="00F732B6"/>
    <w:rsid w:val="00F76B38"/>
    <w:rsid w:val="00F809E8"/>
    <w:rsid w:val="00F80C46"/>
    <w:rsid w:val="00F830FF"/>
    <w:rsid w:val="00F84D38"/>
    <w:rsid w:val="00F84D89"/>
    <w:rsid w:val="00F86B01"/>
    <w:rsid w:val="00F92813"/>
    <w:rsid w:val="00F932A6"/>
    <w:rsid w:val="00F93469"/>
    <w:rsid w:val="00F94FD9"/>
    <w:rsid w:val="00F95CB5"/>
    <w:rsid w:val="00F96390"/>
    <w:rsid w:val="00FA1A49"/>
    <w:rsid w:val="00FA3848"/>
    <w:rsid w:val="00FA5A29"/>
    <w:rsid w:val="00FA67F5"/>
    <w:rsid w:val="00FA6ED3"/>
    <w:rsid w:val="00FB0101"/>
    <w:rsid w:val="00FB1A20"/>
    <w:rsid w:val="00FB266B"/>
    <w:rsid w:val="00FB2EF4"/>
    <w:rsid w:val="00FB30D5"/>
    <w:rsid w:val="00FB42D7"/>
    <w:rsid w:val="00FC0486"/>
    <w:rsid w:val="00FC4A3B"/>
    <w:rsid w:val="00FC56BE"/>
    <w:rsid w:val="00FD2566"/>
    <w:rsid w:val="00FD69A3"/>
    <w:rsid w:val="00FD6E43"/>
    <w:rsid w:val="00FE3F0B"/>
    <w:rsid w:val="00FE4895"/>
    <w:rsid w:val="00FE73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59AB"/>
  <w15:chartTrackingRefBased/>
  <w15:docId w15:val="{C31751E3-F361-4B08-A544-726058B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F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4193"/>
    <w:rPr>
      <w:rFonts w:ascii="Segoe UI" w:hAnsi="Segoe UI" w:cs="Segoe UI"/>
      <w:sz w:val="18"/>
      <w:szCs w:val="18"/>
    </w:rPr>
  </w:style>
  <w:style w:type="character" w:styleId="CommentReference">
    <w:name w:val="annotation reference"/>
    <w:uiPriority w:val="99"/>
    <w:semiHidden/>
    <w:unhideWhenUsed/>
    <w:rsid w:val="00B74C25"/>
    <w:rPr>
      <w:sz w:val="16"/>
      <w:szCs w:val="16"/>
    </w:rPr>
  </w:style>
  <w:style w:type="paragraph" w:styleId="CommentText">
    <w:name w:val="annotation text"/>
    <w:basedOn w:val="Normal"/>
    <w:link w:val="CommentTextChar"/>
    <w:uiPriority w:val="99"/>
    <w:unhideWhenUsed/>
    <w:rsid w:val="00B74C25"/>
    <w:pPr>
      <w:spacing w:line="240" w:lineRule="auto"/>
    </w:pPr>
    <w:rPr>
      <w:sz w:val="20"/>
      <w:szCs w:val="20"/>
    </w:rPr>
  </w:style>
  <w:style w:type="character" w:customStyle="1" w:styleId="CommentTextChar">
    <w:name w:val="Comment Text Char"/>
    <w:link w:val="CommentText"/>
    <w:uiPriority w:val="99"/>
    <w:rsid w:val="00B74C25"/>
    <w:rPr>
      <w:sz w:val="20"/>
      <w:szCs w:val="20"/>
    </w:rPr>
  </w:style>
  <w:style w:type="paragraph" w:styleId="CommentSubject">
    <w:name w:val="annotation subject"/>
    <w:basedOn w:val="CommentText"/>
    <w:next w:val="CommentText"/>
    <w:link w:val="CommentSubjectChar"/>
    <w:uiPriority w:val="99"/>
    <w:semiHidden/>
    <w:unhideWhenUsed/>
    <w:rsid w:val="00B74C25"/>
    <w:rPr>
      <w:b/>
      <w:bCs/>
    </w:rPr>
  </w:style>
  <w:style w:type="character" w:customStyle="1" w:styleId="CommentSubjectChar">
    <w:name w:val="Comment Subject Char"/>
    <w:link w:val="CommentSubject"/>
    <w:uiPriority w:val="99"/>
    <w:semiHidden/>
    <w:rsid w:val="00B74C25"/>
    <w:rPr>
      <w:b/>
      <w:bCs/>
      <w:sz w:val="20"/>
      <w:szCs w:val="20"/>
    </w:rPr>
  </w:style>
  <w:style w:type="paragraph" w:customStyle="1" w:styleId="Default">
    <w:name w:val="Default"/>
    <w:rsid w:val="003B3E4E"/>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743ADD"/>
    <w:rPr>
      <w:sz w:val="22"/>
      <w:szCs w:val="22"/>
      <w:lang w:eastAsia="en-US"/>
    </w:rPr>
  </w:style>
  <w:style w:type="paragraph" w:styleId="Header">
    <w:name w:val="header"/>
    <w:basedOn w:val="Normal"/>
    <w:link w:val="HeaderChar"/>
    <w:uiPriority w:val="99"/>
    <w:unhideWhenUsed/>
    <w:rsid w:val="00B4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74C"/>
  </w:style>
  <w:style w:type="paragraph" w:styleId="Footer">
    <w:name w:val="footer"/>
    <w:basedOn w:val="Normal"/>
    <w:link w:val="FooterChar"/>
    <w:uiPriority w:val="99"/>
    <w:unhideWhenUsed/>
    <w:rsid w:val="00B4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74C"/>
  </w:style>
  <w:style w:type="character" w:customStyle="1" w:styleId="fontstyle01">
    <w:name w:val="fontstyle01"/>
    <w:rsid w:val="002C7BE4"/>
    <w:rPr>
      <w:rFonts w:ascii="ArialMT" w:hAnsi="ArialMT" w:hint="default"/>
      <w:b w:val="0"/>
      <w:bCs w:val="0"/>
      <w:i w:val="0"/>
      <w:iCs w:val="0"/>
      <w:color w:val="000000"/>
      <w:sz w:val="20"/>
      <w:szCs w:val="20"/>
    </w:rPr>
  </w:style>
  <w:style w:type="numbering" w:customStyle="1" w:styleId="PPIHeadings11">
    <w:name w:val="PPI Headings11"/>
    <w:next w:val="NoList"/>
    <w:rsid w:val="002513F7"/>
    <w:pPr>
      <w:numPr>
        <w:numId w:val="3"/>
      </w:numPr>
    </w:pPr>
  </w:style>
  <w:style w:type="character" w:styleId="Hyperlink">
    <w:name w:val="Hyperlink"/>
    <w:uiPriority w:val="99"/>
    <w:unhideWhenUsed/>
    <w:rsid w:val="00820957"/>
    <w:rPr>
      <w:color w:val="0000FF"/>
      <w:u w:val="single"/>
    </w:rPr>
  </w:style>
  <w:style w:type="character" w:styleId="FollowedHyperlink">
    <w:name w:val="FollowedHyperlink"/>
    <w:uiPriority w:val="99"/>
    <w:semiHidden/>
    <w:unhideWhenUsed/>
    <w:rsid w:val="00B335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573">
      <w:bodyDiv w:val="1"/>
      <w:marLeft w:val="0"/>
      <w:marRight w:val="0"/>
      <w:marTop w:val="0"/>
      <w:marBottom w:val="0"/>
      <w:divBdr>
        <w:top w:val="none" w:sz="0" w:space="0" w:color="auto"/>
        <w:left w:val="none" w:sz="0" w:space="0" w:color="auto"/>
        <w:bottom w:val="none" w:sz="0" w:space="0" w:color="auto"/>
        <w:right w:val="none" w:sz="0" w:space="0" w:color="auto"/>
      </w:divBdr>
    </w:div>
    <w:div w:id="233899585">
      <w:bodyDiv w:val="1"/>
      <w:marLeft w:val="0"/>
      <w:marRight w:val="0"/>
      <w:marTop w:val="0"/>
      <w:marBottom w:val="0"/>
      <w:divBdr>
        <w:top w:val="none" w:sz="0" w:space="0" w:color="auto"/>
        <w:left w:val="none" w:sz="0" w:space="0" w:color="auto"/>
        <w:bottom w:val="none" w:sz="0" w:space="0" w:color="auto"/>
        <w:right w:val="none" w:sz="0" w:space="0" w:color="auto"/>
      </w:divBdr>
    </w:div>
    <w:div w:id="314258482">
      <w:bodyDiv w:val="1"/>
      <w:marLeft w:val="0"/>
      <w:marRight w:val="0"/>
      <w:marTop w:val="0"/>
      <w:marBottom w:val="0"/>
      <w:divBdr>
        <w:top w:val="none" w:sz="0" w:space="0" w:color="auto"/>
        <w:left w:val="none" w:sz="0" w:space="0" w:color="auto"/>
        <w:bottom w:val="none" w:sz="0" w:space="0" w:color="auto"/>
        <w:right w:val="none" w:sz="0" w:space="0" w:color="auto"/>
      </w:divBdr>
    </w:div>
    <w:div w:id="700982511">
      <w:bodyDiv w:val="1"/>
      <w:marLeft w:val="0"/>
      <w:marRight w:val="0"/>
      <w:marTop w:val="0"/>
      <w:marBottom w:val="0"/>
      <w:divBdr>
        <w:top w:val="none" w:sz="0" w:space="0" w:color="auto"/>
        <w:left w:val="none" w:sz="0" w:space="0" w:color="auto"/>
        <w:bottom w:val="none" w:sz="0" w:space="0" w:color="auto"/>
        <w:right w:val="none" w:sz="0" w:space="0" w:color="auto"/>
      </w:divBdr>
      <w:divsChild>
        <w:div w:id="1197619795">
          <w:marLeft w:val="0"/>
          <w:marRight w:val="0"/>
          <w:marTop w:val="0"/>
          <w:marBottom w:val="0"/>
          <w:divBdr>
            <w:top w:val="none" w:sz="0" w:space="0" w:color="auto"/>
            <w:left w:val="none" w:sz="0" w:space="0" w:color="auto"/>
            <w:bottom w:val="none" w:sz="0" w:space="0" w:color="auto"/>
            <w:right w:val="none" w:sz="0" w:space="0" w:color="auto"/>
          </w:divBdr>
          <w:divsChild>
            <w:div w:id="9640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903D-6FAC-4A0E-8362-236AD4D2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 Legal</dc:creator>
  <cp:keywords/>
  <dc:description/>
  <cp:lastModifiedBy>User</cp:lastModifiedBy>
  <cp:revision>1</cp:revision>
  <cp:lastPrinted>2020-08-26T05:37:00Z</cp:lastPrinted>
  <dcterms:created xsi:type="dcterms:W3CDTF">2022-11-16T14:42:00Z</dcterms:created>
  <dcterms:modified xsi:type="dcterms:W3CDTF">2022-11-16T14:42:00Z</dcterms:modified>
</cp:coreProperties>
</file>