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6CA9" w14:textId="77777777" w:rsidR="006B6A8B" w:rsidRDefault="006B6A8B" w:rsidP="006939A4">
      <w:pPr>
        <w:spacing w:after="0"/>
        <w:ind w:firstLine="90"/>
        <w:rPr>
          <w:rFonts w:ascii="Arial" w:hAnsi="Arial" w:cs="Arial"/>
          <w:b/>
          <w:lang w:val="el-GR"/>
        </w:rPr>
      </w:pPr>
      <w:bookmarkStart w:id="0" w:name="_Hlk98311992"/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31"/>
      </w:tblGrid>
      <w:tr w:rsidR="00C66CD8" w:rsidRPr="006B31BA" w14:paraId="68AA1C28" w14:textId="77777777" w:rsidTr="00AF13B7">
        <w:tc>
          <w:tcPr>
            <w:tcW w:w="4536" w:type="dxa"/>
          </w:tcPr>
          <w:p w14:paraId="5F3D8661" w14:textId="22DC581D" w:rsidR="0018096F" w:rsidRDefault="00296885" w:rsidP="00D1438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Credit</w:t>
            </w:r>
            <w:r w:rsidR="00290B31" w:rsidRPr="00DA59D0">
              <w:rPr>
                <w:rFonts w:ascii="Arial" w:hAnsi="Arial" w:cs="Arial"/>
                <w:lang w:val="en-US"/>
              </w:rPr>
              <w:t>/</w:t>
            </w:r>
            <w:r w:rsidR="00290B31">
              <w:rPr>
                <w:rFonts w:ascii="Arial" w:hAnsi="Arial" w:cs="Arial"/>
                <w:lang w:val="en-US"/>
              </w:rPr>
              <w:t xml:space="preserve">Financial </w:t>
            </w:r>
            <w:r>
              <w:rPr>
                <w:rFonts w:ascii="Arial" w:hAnsi="Arial" w:cs="Arial"/>
                <w:lang w:val="en-US"/>
              </w:rPr>
              <w:t>Institution</w:t>
            </w:r>
          </w:p>
          <w:p w14:paraId="56592229" w14:textId="2F80906A" w:rsidR="0018096F" w:rsidRDefault="0077296C" w:rsidP="00D1438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7296C">
              <w:rPr>
                <w:rFonts w:ascii="Arial" w:hAnsi="Arial" w:cs="Arial"/>
                <w:lang w:val="en-US"/>
              </w:rPr>
              <w:t>Crypto Asset Service Provider</w:t>
            </w:r>
            <w:r>
              <w:rPr>
                <w:rFonts w:ascii="Arial" w:hAnsi="Arial" w:cs="Arial"/>
                <w:lang w:val="en-US"/>
              </w:rPr>
              <w:t xml:space="preserve"> (CASP) </w:t>
            </w:r>
            <w:r w:rsidRPr="0077296C">
              <w:rPr>
                <w:rFonts w:ascii="Arial" w:hAnsi="Arial" w:cs="Arial"/>
                <w:lang w:val="en-US"/>
              </w:rPr>
              <w:t>Cyprus Investment Firm</w:t>
            </w:r>
            <w:r w:rsidR="0055431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(CIF)</w:t>
            </w:r>
            <w:r w:rsidR="00554317">
              <w:rPr>
                <w:rStyle w:val="FootnoteReference"/>
                <w:rFonts w:ascii="Arial" w:hAnsi="Arial" w:cs="Arial"/>
                <w:lang w:val="en-US"/>
              </w:rPr>
              <w:footnoteReference w:id="1"/>
            </w:r>
          </w:p>
          <w:p w14:paraId="34806074" w14:textId="01E179BA" w:rsidR="00730C1D" w:rsidRPr="00296885" w:rsidRDefault="002376B9" w:rsidP="00D1438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18096F">
              <w:rPr>
                <w:rFonts w:ascii="Arial" w:hAnsi="Arial" w:cs="Arial"/>
                <w:lang w:val="en-US"/>
              </w:rPr>
              <w:t>the ‘</w:t>
            </w:r>
            <w:r>
              <w:rPr>
                <w:rFonts w:ascii="Arial" w:hAnsi="Arial" w:cs="Arial"/>
                <w:lang w:val="en-US"/>
              </w:rPr>
              <w:t>A</w:t>
            </w:r>
            <w:r w:rsidR="00CE6868">
              <w:rPr>
                <w:rFonts w:ascii="Arial" w:hAnsi="Arial" w:cs="Arial"/>
                <w:lang w:val="en-US"/>
              </w:rPr>
              <w:t>pplicant</w:t>
            </w:r>
            <w:r w:rsidR="0018096F"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14:paraId="3C0108A6" w14:textId="77777777" w:rsidR="00C66CD8" w:rsidRPr="00DA59D0" w:rsidRDefault="00730C1D" w:rsidP="00D1438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59D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431" w:type="dxa"/>
          </w:tcPr>
          <w:p w14:paraId="0EB59F3A" w14:textId="77777777" w:rsidR="00C66CD8" w:rsidRPr="00DA59D0" w:rsidRDefault="00C66CD8" w:rsidP="00AC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7296C" w:rsidRPr="00D14384" w14:paraId="71280BE8" w14:textId="77777777" w:rsidTr="00AF13B7">
        <w:tblPrEx>
          <w:tblLook w:val="0000" w:firstRow="0" w:lastRow="0" w:firstColumn="0" w:lastColumn="0" w:noHBand="0" w:noVBand="0"/>
        </w:tblPrEx>
        <w:tc>
          <w:tcPr>
            <w:tcW w:w="4536" w:type="dxa"/>
          </w:tcPr>
          <w:p w14:paraId="61070B30" w14:textId="77777777" w:rsidR="0077296C" w:rsidRDefault="0077296C" w:rsidP="00290B31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  <w:r w:rsidRPr="0077296C">
              <w:rPr>
                <w:rFonts w:cs="Arial"/>
                <w:bCs/>
                <w:sz w:val="22"/>
                <w:szCs w:val="22"/>
              </w:rPr>
              <w:t>Regulatory Authority</w:t>
            </w:r>
          </w:p>
          <w:p w14:paraId="6645166A" w14:textId="77777777" w:rsidR="00F05DBB" w:rsidRDefault="00F05DBB" w:rsidP="00290B31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431" w:type="dxa"/>
          </w:tcPr>
          <w:p w14:paraId="0379C285" w14:textId="77777777" w:rsidR="0077296C" w:rsidRPr="00D14384" w:rsidRDefault="0077296C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7296C" w:rsidRPr="00D14384" w14:paraId="6B7C25FB" w14:textId="77777777" w:rsidTr="00AF13B7">
        <w:tblPrEx>
          <w:tblLook w:val="0000" w:firstRow="0" w:lastRow="0" w:firstColumn="0" w:lastColumn="0" w:noHBand="0" w:noVBand="0"/>
        </w:tblPrEx>
        <w:tc>
          <w:tcPr>
            <w:tcW w:w="4536" w:type="dxa"/>
          </w:tcPr>
          <w:p w14:paraId="285DA7D6" w14:textId="77777777" w:rsidR="0077296C" w:rsidRPr="00DA59D0" w:rsidRDefault="0077296C" w:rsidP="00290B31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Registration Number</w:t>
            </w:r>
            <w:r w:rsidR="00194926" w:rsidRPr="00DA59D0">
              <w:rPr>
                <w:rFonts w:cs="Arial"/>
                <w:bCs/>
                <w:sz w:val="22"/>
                <w:szCs w:val="22"/>
              </w:rPr>
              <w:t>/</w:t>
            </w:r>
            <w:r w:rsidR="00194926" w:rsidRPr="00DA59D0">
              <w:rPr>
                <w:sz w:val="22"/>
                <w:szCs w:val="22"/>
              </w:rPr>
              <w:t>Licence Number</w:t>
            </w:r>
          </w:p>
          <w:p w14:paraId="2BFC8D97" w14:textId="77777777" w:rsidR="00F05DBB" w:rsidRPr="00DA59D0" w:rsidRDefault="00F05DBB" w:rsidP="00290B31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5431" w:type="dxa"/>
          </w:tcPr>
          <w:p w14:paraId="12D0B353" w14:textId="77777777" w:rsidR="0077296C" w:rsidRPr="00D14384" w:rsidRDefault="0077296C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F13B7" w:rsidRPr="00D14384" w14:paraId="30347865" w14:textId="77777777" w:rsidTr="00AF13B7">
        <w:tblPrEx>
          <w:tblLook w:val="0000" w:firstRow="0" w:lastRow="0" w:firstColumn="0" w:lastColumn="0" w:noHBand="0" w:noVBand="0"/>
        </w:tblPrEx>
        <w:tc>
          <w:tcPr>
            <w:tcW w:w="4536" w:type="dxa"/>
          </w:tcPr>
          <w:p w14:paraId="14C9FC2E" w14:textId="77777777" w:rsidR="0018096F" w:rsidRDefault="00296885" w:rsidP="00290B31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Contact Information</w:t>
            </w:r>
          </w:p>
          <w:p w14:paraId="23DC3D11" w14:textId="77777777" w:rsidR="00C9402C" w:rsidRDefault="00C9402C" w:rsidP="00290B31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  <w:p w14:paraId="531F6C2C" w14:textId="77777777" w:rsidR="00290B31" w:rsidRDefault="00DA59D0" w:rsidP="00290B31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  <w:lang w:val="el-GR"/>
              </w:rPr>
              <w:t>-</w:t>
            </w:r>
            <w:r w:rsidR="00290B31">
              <w:rPr>
                <w:rFonts w:cs="Arial"/>
                <w:bCs/>
                <w:sz w:val="22"/>
                <w:szCs w:val="22"/>
              </w:rPr>
              <w:t>Name</w:t>
            </w:r>
          </w:p>
          <w:p w14:paraId="7785BA42" w14:textId="77777777" w:rsidR="006B6A8B" w:rsidRPr="00D14384" w:rsidRDefault="006B6A8B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5431" w:type="dxa"/>
          </w:tcPr>
          <w:p w14:paraId="604773DB" w14:textId="77777777" w:rsidR="00AF13B7" w:rsidRPr="00D14384" w:rsidRDefault="00AF13B7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F13B7" w:rsidRPr="00D14384" w14:paraId="37300B7E" w14:textId="77777777" w:rsidTr="00AF13B7">
        <w:tblPrEx>
          <w:tblLook w:val="0000" w:firstRow="0" w:lastRow="0" w:firstColumn="0" w:lastColumn="0" w:noHBand="0" w:noVBand="0"/>
        </w:tblPrEx>
        <w:tc>
          <w:tcPr>
            <w:tcW w:w="4536" w:type="dxa"/>
          </w:tcPr>
          <w:p w14:paraId="67FB7A61" w14:textId="77777777" w:rsidR="00AF13B7" w:rsidRDefault="00DA59D0" w:rsidP="00DA59D0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  <w:lang w:val="el-GR"/>
              </w:rPr>
              <w:t>-</w:t>
            </w:r>
            <w:r w:rsidR="00296885">
              <w:rPr>
                <w:rFonts w:cs="Arial"/>
                <w:bCs/>
                <w:sz w:val="22"/>
                <w:szCs w:val="22"/>
              </w:rPr>
              <w:t>Telephone / Fax</w:t>
            </w:r>
          </w:p>
          <w:p w14:paraId="3592C437" w14:textId="77777777" w:rsidR="006B6A8B" w:rsidRPr="00D14384" w:rsidRDefault="006B6A8B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431" w:type="dxa"/>
          </w:tcPr>
          <w:p w14:paraId="5A7E37D0" w14:textId="77777777" w:rsidR="00AF13B7" w:rsidRPr="00D14384" w:rsidRDefault="00AF13B7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96885" w:rsidRPr="00D14384" w14:paraId="3C0A9666" w14:textId="77777777" w:rsidTr="00AF13B7">
        <w:tblPrEx>
          <w:tblLook w:val="0000" w:firstRow="0" w:lastRow="0" w:firstColumn="0" w:lastColumn="0" w:noHBand="0" w:noVBand="0"/>
        </w:tblPrEx>
        <w:tc>
          <w:tcPr>
            <w:tcW w:w="4536" w:type="dxa"/>
          </w:tcPr>
          <w:p w14:paraId="4935ADF3" w14:textId="77777777" w:rsidR="00296885" w:rsidRDefault="00DA59D0" w:rsidP="00DA59D0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  <w:lang w:val="el-GR"/>
              </w:rPr>
              <w:t>-</w:t>
            </w:r>
            <w:r w:rsidR="00FC1633">
              <w:rPr>
                <w:rFonts w:cs="Arial"/>
                <w:bCs/>
                <w:sz w:val="22"/>
                <w:szCs w:val="22"/>
              </w:rPr>
              <w:t>E</w:t>
            </w:r>
            <w:r w:rsidR="00296885">
              <w:rPr>
                <w:rFonts w:cs="Arial"/>
                <w:bCs/>
                <w:sz w:val="22"/>
                <w:szCs w:val="22"/>
              </w:rPr>
              <w:t>-mail</w:t>
            </w:r>
          </w:p>
          <w:p w14:paraId="2B5F2091" w14:textId="77777777" w:rsidR="00296885" w:rsidRDefault="00296885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431" w:type="dxa"/>
          </w:tcPr>
          <w:p w14:paraId="7B71139E" w14:textId="77777777" w:rsidR="00296885" w:rsidRPr="00D14384" w:rsidRDefault="00296885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F13B7" w:rsidRPr="006B31BA" w14:paraId="5967D739" w14:textId="77777777" w:rsidTr="00AF13B7">
        <w:tc>
          <w:tcPr>
            <w:tcW w:w="4536" w:type="dxa"/>
          </w:tcPr>
          <w:p w14:paraId="7D38A696" w14:textId="77777777" w:rsidR="006B6A8B" w:rsidRPr="0008621C" w:rsidRDefault="0008621C" w:rsidP="00D14384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08621C">
              <w:rPr>
                <w:rFonts w:ascii="Arial" w:hAnsi="Arial" w:cs="Arial"/>
                <w:bCs/>
              </w:rPr>
              <w:t>Date of application</w:t>
            </w:r>
            <w:r w:rsidRPr="0008621C">
              <w:rPr>
                <w:rFonts w:ascii="Arial" w:hAnsi="Arial" w:cs="Arial"/>
                <w:lang w:val="el-GR"/>
              </w:rPr>
              <w:t xml:space="preserve"> </w:t>
            </w:r>
          </w:p>
          <w:p w14:paraId="015BB90A" w14:textId="77777777" w:rsidR="0008621C" w:rsidRPr="006B6A8B" w:rsidRDefault="0008621C" w:rsidP="00D14384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431" w:type="dxa"/>
          </w:tcPr>
          <w:p w14:paraId="36D66184" w14:textId="77777777" w:rsidR="00AF13B7" w:rsidRPr="00D14384" w:rsidRDefault="00AF13B7" w:rsidP="00AC4845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777D4D" w:rsidRPr="006B31BA" w14:paraId="5E0A1CA7" w14:textId="77777777" w:rsidTr="00AF13B7">
        <w:tc>
          <w:tcPr>
            <w:tcW w:w="4536" w:type="dxa"/>
          </w:tcPr>
          <w:p w14:paraId="7FB89BF1" w14:textId="4207911D" w:rsidR="00777D4D" w:rsidRDefault="00777D4D" w:rsidP="00D1438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 case this </w:t>
            </w:r>
            <w:r w:rsidRPr="00777D4D">
              <w:rPr>
                <w:rFonts w:ascii="Arial" w:hAnsi="Arial" w:cs="Arial"/>
                <w:bCs/>
              </w:rPr>
              <w:t xml:space="preserve">application </w:t>
            </w:r>
            <w:r>
              <w:rPr>
                <w:rFonts w:ascii="Arial" w:hAnsi="Arial" w:cs="Arial"/>
                <w:bCs/>
              </w:rPr>
              <w:t>is</w:t>
            </w:r>
            <w:r w:rsidRPr="00777D4D">
              <w:rPr>
                <w:rFonts w:ascii="Arial" w:hAnsi="Arial" w:cs="Arial"/>
                <w:bCs/>
              </w:rPr>
              <w:t xml:space="preserve"> urgent</w:t>
            </w:r>
            <w:r>
              <w:rPr>
                <w:rFonts w:ascii="Arial" w:hAnsi="Arial" w:cs="Arial"/>
                <w:bCs/>
              </w:rPr>
              <w:t xml:space="preserve">, please </w:t>
            </w:r>
            <w:r w:rsidRPr="00DA59D0">
              <w:rPr>
                <w:rFonts w:ascii="Arial" w:hAnsi="Arial" w:cs="Arial"/>
                <w:bCs/>
              </w:rPr>
              <w:t xml:space="preserve">provide </w:t>
            </w:r>
            <w:r w:rsidR="00C9402C" w:rsidRPr="00DA59D0">
              <w:rPr>
                <w:rFonts w:ascii="Arial" w:hAnsi="Arial" w:cs="Arial"/>
                <w:bCs/>
              </w:rPr>
              <w:t>supporting documentation</w:t>
            </w:r>
          </w:p>
          <w:p w14:paraId="68435E84" w14:textId="77777777" w:rsidR="00777D4D" w:rsidRDefault="00777D4D" w:rsidP="00D143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72B06BC" w14:textId="77777777" w:rsidR="00C9402C" w:rsidRDefault="00C9402C" w:rsidP="00D143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8AE375D" w14:textId="77777777" w:rsidR="00C9402C" w:rsidRPr="0008621C" w:rsidRDefault="00C9402C" w:rsidP="00D143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431" w:type="dxa"/>
          </w:tcPr>
          <w:p w14:paraId="1E8E8ED4" w14:textId="77777777" w:rsidR="00777D4D" w:rsidRPr="00777D4D" w:rsidRDefault="00777D4D" w:rsidP="00AC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F13B7" w:rsidRPr="00FC1633" w14:paraId="02CEEA36" w14:textId="77777777" w:rsidTr="00AF13B7">
        <w:tc>
          <w:tcPr>
            <w:tcW w:w="4536" w:type="dxa"/>
          </w:tcPr>
          <w:p w14:paraId="44FA1101" w14:textId="77777777" w:rsidR="00AF13B7" w:rsidRDefault="00FC1633" w:rsidP="006B6A8B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 w:eastAsia="en-GB"/>
              </w:rPr>
            </w:pPr>
            <w:r w:rsidRPr="00777D4D">
              <w:rPr>
                <w:rFonts w:cs="Arial"/>
                <w:sz w:val="22"/>
                <w:szCs w:val="22"/>
                <w:lang w:val="en-US"/>
              </w:rPr>
              <w:t xml:space="preserve">Regulation </w:t>
            </w:r>
            <w:r w:rsidR="00777D4D" w:rsidRPr="00777D4D">
              <w:rPr>
                <w:rFonts w:cs="Arial"/>
                <w:sz w:val="22"/>
                <w:szCs w:val="22"/>
                <w:lang w:val="en-US"/>
              </w:rPr>
              <w:t>and relevant article</w:t>
            </w:r>
            <w:r w:rsidR="00777D4D" w:rsidRPr="00777D4D">
              <w:rPr>
                <w:sz w:val="22"/>
                <w:szCs w:val="22"/>
              </w:rPr>
              <w:t xml:space="preserve"> </w:t>
            </w:r>
            <w:r w:rsidR="00777D4D" w:rsidRPr="00777D4D">
              <w:rPr>
                <w:rFonts w:cs="Arial"/>
                <w:sz w:val="22"/>
                <w:szCs w:val="22"/>
                <w:lang w:val="en-US" w:eastAsia="en-GB"/>
              </w:rPr>
              <w:t xml:space="preserve">in accordance with which this application is submitted </w:t>
            </w:r>
          </w:p>
          <w:p w14:paraId="486B2123" w14:textId="77777777" w:rsidR="00C9402C" w:rsidRDefault="00C9402C" w:rsidP="006B6A8B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50E32A62" w14:textId="77777777" w:rsidR="00C9402C" w:rsidRDefault="00C9402C" w:rsidP="006B6A8B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35DDD64E" w14:textId="77777777" w:rsidR="00C9402C" w:rsidRPr="00777D4D" w:rsidRDefault="00C9402C" w:rsidP="006B6A8B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431" w:type="dxa"/>
          </w:tcPr>
          <w:p w14:paraId="545CAFBE" w14:textId="4704A4AB" w:rsidR="00147C87" w:rsidRPr="00FC1633" w:rsidRDefault="00147C87" w:rsidP="00147C8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66CD8" w:rsidRPr="0008621C" w14:paraId="489F190A" w14:textId="77777777" w:rsidTr="00AF13B7">
        <w:tc>
          <w:tcPr>
            <w:tcW w:w="4536" w:type="dxa"/>
            <w:shd w:val="clear" w:color="auto" w:fill="auto"/>
          </w:tcPr>
          <w:p w14:paraId="56FBD974" w14:textId="373F860B" w:rsidR="00E45B69" w:rsidRPr="0008621C" w:rsidRDefault="00BD0636" w:rsidP="00E45B69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 w:rsidRPr="00DA59D0">
              <w:rPr>
                <w:rFonts w:cs="Arial"/>
                <w:bCs/>
                <w:sz w:val="22"/>
                <w:szCs w:val="22"/>
                <w:lang w:val="en-US"/>
              </w:rPr>
              <w:t>C</w:t>
            </w:r>
            <w:r w:rsidR="00A34EF2" w:rsidRPr="00DA59D0">
              <w:rPr>
                <w:rFonts w:cs="Arial"/>
                <w:bCs/>
                <w:sz w:val="22"/>
                <w:szCs w:val="22"/>
                <w:lang w:val="en-US"/>
              </w:rPr>
              <w:t>ustomer</w:t>
            </w:r>
            <w:r w:rsidRPr="00DA59D0">
              <w:rPr>
                <w:rFonts w:cs="Arial"/>
                <w:bCs/>
                <w:sz w:val="22"/>
                <w:szCs w:val="22"/>
                <w:lang w:val="en-US"/>
              </w:rPr>
              <w:t>’s name</w:t>
            </w:r>
            <w:r w:rsidR="00A34EF2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16D22E0F" w14:textId="2D8880EE" w:rsidR="00730C1D" w:rsidRDefault="00E45B69" w:rsidP="00C9402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vertAlign w:val="superscript"/>
                <w:lang w:val="en-US"/>
              </w:rPr>
            </w:pPr>
            <w:r w:rsidRPr="0008621C">
              <w:rPr>
                <w:rFonts w:cs="Arial"/>
                <w:bCs/>
                <w:sz w:val="22"/>
                <w:szCs w:val="22"/>
                <w:vertAlign w:val="superscript"/>
                <w:lang w:val="en-US"/>
              </w:rPr>
              <w:t>(</w:t>
            </w:r>
            <w:r w:rsidR="00DC1BD7">
              <w:rPr>
                <w:rFonts w:cs="Arial"/>
                <w:bCs/>
                <w:sz w:val="22"/>
                <w:szCs w:val="22"/>
                <w:vertAlign w:val="superscript"/>
              </w:rPr>
              <w:t>Natural</w:t>
            </w:r>
            <w:r w:rsidR="00283898">
              <w:rPr>
                <w:rFonts w:cs="Arial"/>
                <w:bCs/>
                <w:sz w:val="22"/>
                <w:szCs w:val="22"/>
                <w:vertAlign w:val="superscript"/>
              </w:rPr>
              <w:t xml:space="preserve"> person</w:t>
            </w:r>
            <w:r w:rsidR="00DC1BD7">
              <w:rPr>
                <w:rFonts w:cs="Arial"/>
                <w:bCs/>
                <w:sz w:val="22"/>
                <w:szCs w:val="22"/>
                <w:vertAlign w:val="superscript"/>
                <w:lang w:val="en-US"/>
              </w:rPr>
              <w:t>/</w:t>
            </w:r>
            <w:r w:rsidR="0008621C">
              <w:rPr>
                <w:rFonts w:cs="Arial"/>
                <w:bCs/>
                <w:sz w:val="22"/>
                <w:szCs w:val="22"/>
                <w:vertAlign w:val="superscript"/>
                <w:lang w:val="en-US"/>
              </w:rPr>
              <w:t>legal</w:t>
            </w:r>
            <w:r w:rsidR="00283898">
              <w:rPr>
                <w:rFonts w:cs="Arial"/>
                <w:bCs/>
                <w:sz w:val="22"/>
                <w:szCs w:val="22"/>
                <w:vertAlign w:val="superscript"/>
                <w:lang w:val="en-US"/>
              </w:rPr>
              <w:t xml:space="preserve"> person</w:t>
            </w:r>
            <w:r w:rsidR="00DC1BD7">
              <w:rPr>
                <w:rFonts w:cs="Arial"/>
                <w:bCs/>
                <w:sz w:val="22"/>
                <w:szCs w:val="22"/>
                <w:vertAlign w:val="superscript"/>
                <w:lang w:val="en-US"/>
              </w:rPr>
              <w:t>/entity/body</w:t>
            </w:r>
            <w:r w:rsidRPr="0008621C">
              <w:rPr>
                <w:rFonts w:cs="Arial"/>
                <w:bCs/>
                <w:sz w:val="22"/>
                <w:szCs w:val="22"/>
                <w:vertAlign w:val="superscript"/>
                <w:lang w:val="en-US"/>
              </w:rPr>
              <w:t>)</w:t>
            </w:r>
          </w:p>
          <w:p w14:paraId="183DA3AF" w14:textId="77777777" w:rsidR="00C9402C" w:rsidRDefault="00C9402C" w:rsidP="00C9402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0FBD26D3" w14:textId="77777777" w:rsidR="00C9402C" w:rsidRDefault="00C9402C" w:rsidP="00C9402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6687339B" w14:textId="77777777" w:rsidR="00C9402C" w:rsidRDefault="00C9402C" w:rsidP="00C9402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6BD3C208" w14:textId="77777777" w:rsidR="00C9402C" w:rsidRPr="0008621C" w:rsidRDefault="00C9402C" w:rsidP="00C9402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431" w:type="dxa"/>
            <w:shd w:val="clear" w:color="auto" w:fill="auto"/>
          </w:tcPr>
          <w:p w14:paraId="35C7AF5B" w14:textId="77777777" w:rsidR="00C66CD8" w:rsidRPr="0008621C" w:rsidRDefault="00C66CD8" w:rsidP="00AC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80479" w:rsidRPr="0008621C" w14:paraId="32AAE86C" w14:textId="77777777" w:rsidTr="00AF13B7">
        <w:tc>
          <w:tcPr>
            <w:tcW w:w="4536" w:type="dxa"/>
            <w:shd w:val="clear" w:color="auto" w:fill="auto"/>
          </w:tcPr>
          <w:p w14:paraId="1A906C74" w14:textId="11204C85" w:rsidR="00BD0636" w:rsidRPr="00DA59D0" w:rsidRDefault="00BD0636" w:rsidP="00E45B69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DA59D0">
              <w:rPr>
                <w:rFonts w:cs="Arial"/>
                <w:sz w:val="22"/>
                <w:szCs w:val="22"/>
                <w:u w:val="single"/>
                <w:lang w:val="en-US"/>
              </w:rPr>
              <w:t>Reason for</w:t>
            </w:r>
            <w:r w:rsidR="005B7113" w:rsidRPr="00DA59D0">
              <w:rPr>
                <w:rFonts w:cs="Arial"/>
                <w:sz w:val="22"/>
                <w:szCs w:val="22"/>
                <w:u w:val="single"/>
                <w:lang w:val="en-US"/>
              </w:rPr>
              <w:t xml:space="preserve"> submitting </w:t>
            </w:r>
            <w:r w:rsidRPr="00DA59D0">
              <w:rPr>
                <w:rFonts w:cs="Arial"/>
                <w:sz w:val="22"/>
                <w:szCs w:val="22"/>
                <w:u w:val="single"/>
                <w:lang w:val="en-US"/>
              </w:rPr>
              <w:t xml:space="preserve">this </w:t>
            </w:r>
            <w:r w:rsidR="005B7113" w:rsidRPr="00DA59D0">
              <w:rPr>
                <w:rFonts w:cs="Arial"/>
                <w:sz w:val="22"/>
                <w:szCs w:val="22"/>
                <w:u w:val="single"/>
                <w:lang w:val="en-US"/>
              </w:rPr>
              <w:t xml:space="preserve">application </w:t>
            </w:r>
          </w:p>
          <w:p w14:paraId="319D4D1F" w14:textId="4AFB3AA6" w:rsidR="00180479" w:rsidRDefault="00BD0636" w:rsidP="00E45B69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 w:rsidRPr="00DA59D0">
              <w:rPr>
                <w:rFonts w:cs="Arial"/>
                <w:bCs/>
                <w:sz w:val="22"/>
                <w:szCs w:val="22"/>
                <w:lang w:val="en-US"/>
              </w:rPr>
              <w:lastRenderedPageBreak/>
              <w:t>T</w:t>
            </w:r>
            <w:r w:rsidR="007C55B4" w:rsidRPr="00DA59D0">
              <w:rPr>
                <w:rFonts w:cs="Arial"/>
                <w:bCs/>
                <w:sz w:val="22"/>
                <w:szCs w:val="22"/>
                <w:lang w:val="en-US"/>
              </w:rPr>
              <w:t xml:space="preserve">he </w:t>
            </w:r>
            <w:r w:rsidR="00B5075C" w:rsidRPr="00DA59D0">
              <w:rPr>
                <w:rFonts w:cs="Arial"/>
                <w:bCs/>
                <w:sz w:val="22"/>
                <w:szCs w:val="22"/>
                <w:lang w:val="en-US"/>
              </w:rPr>
              <w:t xml:space="preserve">relevant </w:t>
            </w:r>
            <w:r w:rsidR="007C55B4" w:rsidRPr="00DA59D0">
              <w:rPr>
                <w:rFonts w:cs="Arial"/>
                <w:bCs/>
                <w:sz w:val="22"/>
                <w:szCs w:val="22"/>
                <w:lang w:val="en-US"/>
              </w:rPr>
              <w:t>deposit or provision of wall</w:t>
            </w:r>
            <w:r w:rsidR="007E5F95" w:rsidRPr="00DA59D0">
              <w:rPr>
                <w:rFonts w:cs="Arial"/>
                <w:bCs/>
                <w:sz w:val="22"/>
                <w:szCs w:val="22"/>
                <w:lang w:val="en-US"/>
              </w:rPr>
              <w:t>e</w:t>
            </w:r>
            <w:r w:rsidR="007C55B4" w:rsidRPr="00DA59D0">
              <w:rPr>
                <w:rFonts w:cs="Arial"/>
                <w:bCs/>
                <w:sz w:val="22"/>
                <w:szCs w:val="22"/>
                <w:lang w:val="en-US"/>
              </w:rPr>
              <w:t xml:space="preserve">t, account or custody </w:t>
            </w:r>
            <w:r w:rsidR="003B1690" w:rsidRPr="00DA59D0">
              <w:rPr>
                <w:rFonts w:cs="Arial"/>
                <w:bCs/>
                <w:sz w:val="22"/>
                <w:szCs w:val="22"/>
                <w:lang w:val="en-US"/>
              </w:rPr>
              <w:t>service</w:t>
            </w:r>
            <w:r w:rsidR="00343038" w:rsidRPr="00DA59D0">
              <w:rPr>
                <w:rFonts w:cs="Arial"/>
                <w:bCs/>
                <w:sz w:val="22"/>
                <w:szCs w:val="22"/>
                <w:lang w:val="en-US"/>
              </w:rPr>
              <w:t xml:space="preserve"> is</w:t>
            </w:r>
            <w:r w:rsidR="00640E47" w:rsidRPr="00DA59D0">
              <w:rPr>
                <w:rFonts w:cs="Arial"/>
                <w:bCs/>
                <w:sz w:val="22"/>
                <w:szCs w:val="22"/>
                <w:lang w:val="en-US"/>
              </w:rPr>
              <w:t>:</w:t>
            </w:r>
            <w:r w:rsidR="00640E47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7AA473D4" w14:textId="77777777" w:rsidR="00180479" w:rsidRDefault="00180479" w:rsidP="00E45B69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11FC767E" w14:textId="77777777" w:rsidR="00180479" w:rsidRDefault="00180479" w:rsidP="00E45B69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431" w:type="dxa"/>
            <w:shd w:val="clear" w:color="auto" w:fill="auto"/>
          </w:tcPr>
          <w:p w14:paraId="1D5A7799" w14:textId="5C8B419B" w:rsidR="00180479" w:rsidRPr="0008621C" w:rsidRDefault="00343038" w:rsidP="0077296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Provide the reason and all necessary documentation </w:t>
            </w:r>
            <w:r>
              <w:rPr>
                <w:rFonts w:ascii="Arial" w:hAnsi="Arial" w:cs="Arial"/>
                <w:lang w:val="en-US"/>
              </w:rPr>
              <w:lastRenderedPageBreak/>
              <w:t>and information.</w:t>
            </w:r>
          </w:p>
        </w:tc>
      </w:tr>
      <w:tr w:rsidR="0077296C" w:rsidRPr="0008621C" w14:paraId="7366CFD3" w14:textId="77777777" w:rsidTr="00DA59D0">
        <w:trPr>
          <w:trHeight w:val="580"/>
        </w:trPr>
        <w:tc>
          <w:tcPr>
            <w:tcW w:w="9967" w:type="dxa"/>
            <w:gridSpan w:val="2"/>
            <w:shd w:val="clear" w:color="auto" w:fill="auto"/>
          </w:tcPr>
          <w:p w14:paraId="61A347C8" w14:textId="77777777" w:rsidR="00554317" w:rsidRDefault="00554317" w:rsidP="006F7EE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5005A79C" w14:textId="77777777" w:rsidR="0077296C" w:rsidRDefault="0077296C" w:rsidP="006F7EE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Article 5c of </w:t>
            </w:r>
            <w:r w:rsidRPr="0077296C">
              <w:rPr>
                <w:rFonts w:ascii="Arial" w:hAnsi="Arial" w:cs="Arial"/>
                <w:lang w:val="en-US"/>
              </w:rPr>
              <w:t xml:space="preserve">EU Regulation 833/2014 </w:t>
            </w:r>
            <w:r w:rsidR="00F05DBB">
              <w:rPr>
                <w:rFonts w:ascii="Arial" w:hAnsi="Arial" w:cs="Arial"/>
                <w:lang w:val="en-US"/>
              </w:rPr>
              <w:t xml:space="preserve">/ </w:t>
            </w:r>
            <w:r w:rsidR="00F05DBB" w:rsidRPr="00B5075C">
              <w:rPr>
                <w:rFonts w:ascii="Arial" w:hAnsi="Arial" w:cs="Arial"/>
                <w:lang w:val="en-US"/>
              </w:rPr>
              <w:t>Article</w:t>
            </w:r>
            <w:r w:rsidRPr="0077296C">
              <w:rPr>
                <w:rFonts w:ascii="Arial" w:hAnsi="Arial" w:cs="Arial"/>
                <w:lang w:val="en-US"/>
              </w:rPr>
              <w:t xml:space="preserve"> 1v</w:t>
            </w:r>
            <w:r w:rsidRPr="00DA59D0">
              <w:rPr>
                <w:rFonts w:ascii="Arial" w:hAnsi="Arial" w:cs="Arial"/>
                <w:lang w:val="en-US"/>
              </w:rPr>
              <w:t xml:space="preserve"> of EU Regulation 765/2006</w:t>
            </w:r>
          </w:p>
          <w:p w14:paraId="03FBF15B" w14:textId="77777777" w:rsidR="00554317" w:rsidRDefault="00554317" w:rsidP="006F7EE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40E47" w:rsidRPr="0008621C" w14:paraId="5510CAA5" w14:textId="77777777" w:rsidTr="00AF13B7">
        <w:tc>
          <w:tcPr>
            <w:tcW w:w="4536" w:type="dxa"/>
            <w:shd w:val="clear" w:color="auto" w:fill="auto"/>
          </w:tcPr>
          <w:p w14:paraId="4A3FD274" w14:textId="12228B04" w:rsidR="00343038" w:rsidRPr="00D0622D" w:rsidRDefault="00343038" w:rsidP="00A45FDB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eastAsia="en-GB"/>
              </w:rPr>
            </w:pPr>
            <w:r w:rsidRPr="00A45FDB">
              <w:rPr>
                <w:rFonts w:cs="Arial"/>
                <w:sz w:val="22"/>
                <w:szCs w:val="22"/>
                <w:lang w:val="en-US"/>
              </w:rPr>
              <w:t xml:space="preserve">(a) </w:t>
            </w:r>
            <w:r w:rsidR="00D0622D" w:rsidRPr="00D0622D">
              <w:rPr>
                <w:rFonts w:cs="Arial"/>
                <w:bCs/>
                <w:sz w:val="22"/>
                <w:szCs w:val="22"/>
                <w:lang w:eastAsia="en-GB"/>
              </w:rPr>
              <w:t>necessary to satisfy the basic needs of natural or legal persons,</w:t>
            </w:r>
            <w:r w:rsidR="00D0622D" w:rsidRPr="00D0622D">
              <w:rPr>
                <w:rFonts w:cs="Arial"/>
                <w:bCs/>
                <w:sz w:val="22"/>
                <w:szCs w:val="22"/>
                <w:lang w:eastAsia="en-GB"/>
              </w:rPr>
              <w:br/>
              <w:t>entities or bodies referred to in Article 5</w:t>
            </w:r>
            <w:proofErr w:type="gramStart"/>
            <w:r w:rsidR="00D0622D" w:rsidRPr="00D0622D">
              <w:rPr>
                <w:rFonts w:cs="Arial"/>
                <w:bCs/>
                <w:sz w:val="22"/>
                <w:szCs w:val="22"/>
                <w:lang w:eastAsia="en-GB"/>
              </w:rPr>
              <w:t>b(</w:t>
            </w:r>
            <w:proofErr w:type="gramEnd"/>
            <w:r w:rsidR="00D0622D" w:rsidRPr="00D0622D">
              <w:rPr>
                <w:rFonts w:cs="Arial"/>
                <w:bCs/>
                <w:sz w:val="22"/>
                <w:szCs w:val="22"/>
                <w:lang w:eastAsia="en-GB"/>
              </w:rPr>
              <w:t>1) and their dependent</w:t>
            </w:r>
            <w:r w:rsidR="00D0622D" w:rsidRPr="00D0622D">
              <w:rPr>
                <w:rFonts w:cs="Arial"/>
                <w:bCs/>
                <w:sz w:val="22"/>
                <w:szCs w:val="22"/>
                <w:lang w:eastAsia="en-GB"/>
              </w:rPr>
              <w:br/>
              <w:t>family members, including payments for food, rent or mortgage,</w:t>
            </w:r>
            <w:r w:rsidR="00D0622D" w:rsidRPr="00D0622D">
              <w:rPr>
                <w:rFonts w:cs="Arial"/>
                <w:bCs/>
                <w:sz w:val="22"/>
                <w:szCs w:val="22"/>
                <w:lang w:eastAsia="en-GB"/>
              </w:rPr>
              <w:br/>
              <w:t>medicines and medical treatment, taxes, insurance premiums, and</w:t>
            </w:r>
            <w:r w:rsidR="00D0622D" w:rsidRPr="00D0622D">
              <w:rPr>
                <w:rFonts w:cs="Arial"/>
                <w:bCs/>
                <w:sz w:val="22"/>
                <w:szCs w:val="22"/>
                <w:lang w:eastAsia="en-GB"/>
              </w:rPr>
              <w:br/>
              <w:t>public utility charges</w:t>
            </w:r>
          </w:p>
          <w:p w14:paraId="0D798F46" w14:textId="77777777" w:rsidR="00640E47" w:rsidRPr="00A45FDB" w:rsidDel="00640E47" w:rsidRDefault="00640E47" w:rsidP="00A45FDB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431" w:type="dxa"/>
            <w:shd w:val="clear" w:color="auto" w:fill="auto"/>
          </w:tcPr>
          <w:p w14:paraId="0B7A2FD3" w14:textId="0E9F0011" w:rsidR="00640E47" w:rsidRPr="00DA59D0" w:rsidRDefault="00EB4B9E" w:rsidP="00AC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59D0">
              <w:rPr>
                <w:rFonts w:ascii="Arial" w:hAnsi="Arial" w:cs="Arial"/>
                <w:lang w:val="en-US"/>
              </w:rPr>
              <w:t xml:space="preserve">Please refer to page 27 of the </w:t>
            </w:r>
            <w:hyperlink r:id="rId8" w:history="1">
              <w:r w:rsidRPr="007F403D">
                <w:rPr>
                  <w:rStyle w:val="Hyperlink"/>
                  <w:rFonts w:ascii="Arial" w:hAnsi="Arial" w:cs="Arial"/>
                  <w:lang w:val="en-US"/>
                </w:rPr>
                <w:t>Best Practices</w:t>
              </w:r>
            </w:hyperlink>
            <w:r w:rsidRPr="00DA59D0">
              <w:rPr>
                <w:rFonts w:ascii="Arial" w:hAnsi="Arial" w:cs="Arial"/>
                <w:lang w:val="en-US"/>
              </w:rPr>
              <w:t xml:space="preserve"> </w:t>
            </w:r>
          </w:p>
          <w:p w14:paraId="69895863" w14:textId="77777777" w:rsidR="00A34EF2" w:rsidRPr="00DA59D0" w:rsidRDefault="00A34EF2" w:rsidP="00AC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40E47" w:rsidRPr="0008621C" w14:paraId="015870ED" w14:textId="77777777" w:rsidTr="00AF13B7">
        <w:tc>
          <w:tcPr>
            <w:tcW w:w="4536" w:type="dxa"/>
            <w:shd w:val="clear" w:color="auto" w:fill="auto"/>
          </w:tcPr>
          <w:p w14:paraId="04EA4CDC" w14:textId="732E4A2B" w:rsidR="00D0622D" w:rsidRPr="00D0622D" w:rsidRDefault="00D0622D" w:rsidP="00D0622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Cs/>
                <w:sz w:val="22"/>
                <w:szCs w:val="22"/>
                <w:lang w:eastAsia="en-GB"/>
              </w:rPr>
              <w:t>(b)i</w:t>
            </w:r>
            <w:r w:rsidRPr="00D0622D">
              <w:rPr>
                <w:rFonts w:cs="Arial"/>
                <w:bCs/>
                <w:sz w:val="22"/>
                <w:szCs w:val="22"/>
                <w:lang w:eastAsia="en-GB"/>
              </w:rPr>
              <w:t>ntended exclusively for the payment of reasonable professional fees</w:t>
            </w:r>
            <w:r>
              <w:rPr>
                <w:rFonts w:cs="Arial"/>
                <w:bCs/>
                <w:sz w:val="22"/>
                <w:szCs w:val="22"/>
                <w:lang w:eastAsia="en-GB"/>
              </w:rPr>
              <w:t xml:space="preserve"> </w:t>
            </w:r>
            <w:r w:rsidRPr="00D0622D">
              <w:rPr>
                <w:rFonts w:cs="Arial"/>
                <w:bCs/>
                <w:sz w:val="22"/>
                <w:szCs w:val="22"/>
                <w:lang w:eastAsia="en-GB"/>
              </w:rPr>
              <w:t>or the reimbursement of incurred expenses associated with the</w:t>
            </w:r>
          </w:p>
          <w:p w14:paraId="003AFF60" w14:textId="2B933AD0" w:rsidR="00343038" w:rsidRPr="00DA59D0" w:rsidRDefault="00D0622D" w:rsidP="00D0622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eastAsia="en-GB"/>
              </w:rPr>
            </w:pPr>
            <w:r w:rsidRPr="00D0622D">
              <w:rPr>
                <w:rFonts w:cs="Arial"/>
                <w:bCs/>
                <w:sz w:val="22"/>
                <w:szCs w:val="22"/>
                <w:lang w:eastAsia="en-GB"/>
              </w:rPr>
              <w:t>provision of legal services</w:t>
            </w:r>
          </w:p>
          <w:p w14:paraId="7263BAC6" w14:textId="77777777" w:rsidR="007034F2" w:rsidRPr="00D0622D" w:rsidDel="00640E47" w:rsidRDefault="007034F2" w:rsidP="00D0622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431" w:type="dxa"/>
            <w:shd w:val="clear" w:color="auto" w:fill="auto"/>
          </w:tcPr>
          <w:p w14:paraId="770120E9" w14:textId="77777777" w:rsidR="00640E47" w:rsidRPr="0008621C" w:rsidRDefault="00640E47" w:rsidP="00AC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034F2" w:rsidRPr="0008621C" w14:paraId="08BBFF9B" w14:textId="77777777" w:rsidTr="00AF13B7">
        <w:tc>
          <w:tcPr>
            <w:tcW w:w="4536" w:type="dxa"/>
            <w:shd w:val="clear" w:color="auto" w:fill="auto"/>
          </w:tcPr>
          <w:p w14:paraId="0C9A87F5" w14:textId="45FB9BB3" w:rsidR="007034F2" w:rsidRPr="001A1EF0" w:rsidRDefault="007034F2" w:rsidP="00D0622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lang w:val="en-US"/>
              </w:rPr>
            </w:pPr>
            <w:r w:rsidRPr="00DA59D0">
              <w:rPr>
                <w:rFonts w:cs="Arial"/>
                <w:bCs/>
                <w:sz w:val="22"/>
                <w:szCs w:val="22"/>
                <w:lang w:eastAsia="en-GB"/>
              </w:rPr>
              <w:t xml:space="preserve">(c) </w:t>
            </w:r>
            <w:r w:rsidR="00D0622D" w:rsidRPr="00D0622D">
              <w:rPr>
                <w:rFonts w:cs="Arial"/>
                <w:bCs/>
                <w:sz w:val="22"/>
                <w:szCs w:val="22"/>
                <w:lang w:eastAsia="en-GB"/>
              </w:rPr>
              <w:t>intended exclusively for the payment of fees or service charges fo</w:t>
            </w:r>
            <w:r w:rsidR="00D0622D">
              <w:rPr>
                <w:rFonts w:cs="Arial"/>
                <w:bCs/>
                <w:sz w:val="22"/>
                <w:szCs w:val="22"/>
                <w:lang w:eastAsia="en-GB"/>
              </w:rPr>
              <w:t xml:space="preserve">r </w:t>
            </w:r>
            <w:r w:rsidR="00D0622D" w:rsidRPr="00D0622D">
              <w:rPr>
                <w:rFonts w:cs="Arial"/>
                <w:bCs/>
                <w:sz w:val="22"/>
                <w:szCs w:val="22"/>
                <w:lang w:eastAsia="en-GB"/>
              </w:rPr>
              <w:t>the routine holding or maintenance of frozen funds or economic</w:t>
            </w:r>
            <w:r w:rsidR="00D0622D">
              <w:rPr>
                <w:rFonts w:cs="Arial"/>
                <w:bCs/>
                <w:sz w:val="22"/>
                <w:szCs w:val="22"/>
                <w:lang w:eastAsia="en-GB"/>
              </w:rPr>
              <w:t xml:space="preserve"> </w:t>
            </w:r>
            <w:r w:rsidR="00D0622D" w:rsidRPr="00D0622D">
              <w:rPr>
                <w:rFonts w:cs="Arial"/>
                <w:bCs/>
                <w:sz w:val="22"/>
                <w:szCs w:val="22"/>
                <w:lang w:eastAsia="en-GB"/>
              </w:rPr>
              <w:t>resources;</w:t>
            </w:r>
          </w:p>
        </w:tc>
        <w:tc>
          <w:tcPr>
            <w:tcW w:w="5431" w:type="dxa"/>
            <w:shd w:val="clear" w:color="auto" w:fill="auto"/>
          </w:tcPr>
          <w:p w14:paraId="1F5E890A" w14:textId="77777777" w:rsidR="007034F2" w:rsidRPr="0008621C" w:rsidRDefault="007034F2" w:rsidP="00AC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40E47" w:rsidRPr="0008621C" w14:paraId="7492486C" w14:textId="77777777" w:rsidTr="00AF13B7">
        <w:tc>
          <w:tcPr>
            <w:tcW w:w="4536" w:type="dxa"/>
            <w:shd w:val="clear" w:color="auto" w:fill="auto"/>
          </w:tcPr>
          <w:p w14:paraId="2F498EEA" w14:textId="7B128386" w:rsidR="007034F2" w:rsidRPr="00D0622D" w:rsidDel="00640E47" w:rsidRDefault="00343038" w:rsidP="00E45B69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eastAsia="en-GB"/>
              </w:rPr>
            </w:pPr>
            <w:r w:rsidRPr="00D0622D">
              <w:rPr>
                <w:rFonts w:cs="Arial"/>
                <w:bCs/>
                <w:sz w:val="22"/>
                <w:szCs w:val="22"/>
                <w:lang w:eastAsia="en-GB"/>
              </w:rPr>
              <w:t>(d)</w:t>
            </w:r>
            <w:r w:rsidR="00D0622D" w:rsidRPr="00D0622D">
              <w:rPr>
                <w:rFonts w:cs="Arial"/>
                <w:bCs/>
                <w:sz w:val="22"/>
                <w:szCs w:val="22"/>
                <w:lang w:eastAsia="en-GB"/>
              </w:rPr>
              <w:t xml:space="preserve"> necessary for extraordinary expenses, provided that the relevant</w:t>
            </w:r>
            <w:r w:rsidR="00D0622D" w:rsidRPr="00D0622D">
              <w:rPr>
                <w:rFonts w:cs="Arial"/>
                <w:bCs/>
                <w:sz w:val="22"/>
                <w:szCs w:val="22"/>
                <w:lang w:eastAsia="en-GB"/>
              </w:rPr>
              <w:br/>
              <w:t>competent authority has notified the competent authorities of the</w:t>
            </w:r>
            <w:r w:rsidR="00D0622D" w:rsidRPr="00D0622D">
              <w:rPr>
                <w:rFonts w:cs="Arial"/>
                <w:bCs/>
                <w:sz w:val="22"/>
                <w:szCs w:val="22"/>
                <w:lang w:eastAsia="en-GB"/>
              </w:rPr>
              <w:br/>
              <w:t>other Member States and the Commission of the grounds on</w:t>
            </w:r>
            <w:r w:rsidR="00D0622D" w:rsidRPr="00D0622D">
              <w:rPr>
                <w:rFonts w:cs="Arial"/>
                <w:bCs/>
                <w:sz w:val="22"/>
                <w:szCs w:val="22"/>
                <w:lang w:eastAsia="en-GB"/>
              </w:rPr>
              <w:br/>
              <w:t>which it considers that a specific authorisation should be granted,</w:t>
            </w:r>
            <w:r w:rsidR="00D0622D" w:rsidRPr="00D0622D">
              <w:rPr>
                <w:rFonts w:cs="Arial"/>
                <w:bCs/>
                <w:sz w:val="22"/>
                <w:szCs w:val="22"/>
                <w:lang w:eastAsia="en-GB"/>
              </w:rPr>
              <w:br/>
              <w:t>at least two weeks prior to the authorisation</w:t>
            </w:r>
          </w:p>
        </w:tc>
        <w:tc>
          <w:tcPr>
            <w:tcW w:w="5431" w:type="dxa"/>
            <w:shd w:val="clear" w:color="auto" w:fill="auto"/>
          </w:tcPr>
          <w:p w14:paraId="33FC63ED" w14:textId="77777777" w:rsidR="00640E47" w:rsidRPr="0008621C" w:rsidRDefault="00640E47" w:rsidP="00AC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0622D" w:rsidRPr="0008621C" w14:paraId="4549C53C" w14:textId="77777777" w:rsidTr="00AF13B7">
        <w:tc>
          <w:tcPr>
            <w:tcW w:w="4536" w:type="dxa"/>
            <w:shd w:val="clear" w:color="auto" w:fill="auto"/>
          </w:tcPr>
          <w:p w14:paraId="1BFAE354" w14:textId="590B0C17" w:rsidR="00D0622D" w:rsidRPr="00D0622D" w:rsidRDefault="00D0622D" w:rsidP="00E45B69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eastAsia="en-GB"/>
              </w:rPr>
            </w:pPr>
            <w:r w:rsidRPr="00D0622D">
              <w:rPr>
                <w:rFonts w:cs="Arial"/>
                <w:bCs/>
                <w:sz w:val="22"/>
                <w:szCs w:val="22"/>
                <w:lang w:eastAsia="en-GB"/>
              </w:rPr>
              <w:t>(e) necessary for official purposes of a diplomatic mission or consular</w:t>
            </w:r>
            <w:r w:rsidRPr="00D0622D">
              <w:rPr>
                <w:rFonts w:cs="Arial"/>
                <w:bCs/>
                <w:sz w:val="22"/>
                <w:szCs w:val="22"/>
                <w:lang w:eastAsia="en-GB"/>
              </w:rPr>
              <w:br/>
              <w:t>post or international organisation;</w:t>
            </w:r>
          </w:p>
        </w:tc>
        <w:tc>
          <w:tcPr>
            <w:tcW w:w="5431" w:type="dxa"/>
            <w:shd w:val="clear" w:color="auto" w:fill="auto"/>
          </w:tcPr>
          <w:p w14:paraId="02EFD1A1" w14:textId="77777777" w:rsidR="00D0622D" w:rsidRPr="0008621C" w:rsidRDefault="00D0622D" w:rsidP="00AC48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0622D" w:rsidRPr="00D0622D" w14:paraId="1B729DBE" w14:textId="77777777" w:rsidTr="00AF13B7">
        <w:tc>
          <w:tcPr>
            <w:tcW w:w="4536" w:type="dxa"/>
            <w:shd w:val="clear" w:color="auto" w:fill="auto"/>
          </w:tcPr>
          <w:p w14:paraId="527A6F93" w14:textId="41AE21A9" w:rsidR="00D0622D" w:rsidRPr="00D0622D" w:rsidRDefault="00D0622D" w:rsidP="00E45B69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eastAsia="en-GB"/>
              </w:rPr>
            </w:pPr>
            <w:r w:rsidRPr="00D0622D">
              <w:rPr>
                <w:rFonts w:cs="Arial"/>
                <w:bCs/>
                <w:sz w:val="22"/>
                <w:szCs w:val="22"/>
                <w:lang w:eastAsia="en-GB"/>
              </w:rPr>
              <w:t>(f) necessary for non-prohibited cross-border trade in goods and</w:t>
            </w:r>
            <w:r w:rsidRPr="00D0622D">
              <w:rPr>
                <w:rFonts w:cs="Arial"/>
                <w:bCs/>
                <w:sz w:val="22"/>
                <w:szCs w:val="22"/>
                <w:lang w:eastAsia="en-GB"/>
              </w:rPr>
              <w:br/>
              <w:t>services between the Union and Russia</w:t>
            </w:r>
          </w:p>
        </w:tc>
        <w:tc>
          <w:tcPr>
            <w:tcW w:w="5431" w:type="dxa"/>
            <w:shd w:val="clear" w:color="auto" w:fill="auto"/>
          </w:tcPr>
          <w:p w14:paraId="3E1735AA" w14:textId="77777777" w:rsidR="00D0622D" w:rsidRPr="00D0622D" w:rsidRDefault="00D0622D" w:rsidP="00D0622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</w:tr>
      <w:tr w:rsidR="0077296C" w:rsidRPr="0008621C" w14:paraId="5D5221E7" w14:textId="77777777" w:rsidTr="0077296C">
        <w:tc>
          <w:tcPr>
            <w:tcW w:w="9967" w:type="dxa"/>
            <w:gridSpan w:val="2"/>
            <w:shd w:val="clear" w:color="auto" w:fill="auto"/>
          </w:tcPr>
          <w:p w14:paraId="2AF14275" w14:textId="77777777" w:rsidR="00554317" w:rsidRDefault="00554317" w:rsidP="00DA59D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048F59A6" w14:textId="77777777" w:rsidR="0077296C" w:rsidRPr="00DA59D0" w:rsidRDefault="0077296C" w:rsidP="00DA59D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A59D0">
              <w:rPr>
                <w:rFonts w:ascii="Arial" w:hAnsi="Arial" w:cs="Arial"/>
                <w:bCs/>
              </w:rPr>
              <w:t xml:space="preserve">Article 5d of EU Regulation 833/2014 </w:t>
            </w:r>
            <w:r w:rsidR="00951AFE" w:rsidRPr="00DA59D0">
              <w:rPr>
                <w:rFonts w:ascii="Arial" w:hAnsi="Arial" w:cs="Arial"/>
                <w:bCs/>
              </w:rPr>
              <w:t>/</w:t>
            </w:r>
            <w:r w:rsidRPr="00DA59D0">
              <w:rPr>
                <w:rFonts w:ascii="Arial" w:hAnsi="Arial" w:cs="Arial"/>
                <w:bCs/>
              </w:rPr>
              <w:t xml:space="preserve"> </w:t>
            </w:r>
            <w:r w:rsidR="007A23B3" w:rsidRPr="00DA59D0">
              <w:rPr>
                <w:rFonts w:ascii="Arial" w:hAnsi="Arial" w:cs="Arial"/>
                <w:bCs/>
              </w:rPr>
              <w:t xml:space="preserve">Article </w:t>
            </w:r>
            <w:r w:rsidRPr="00DA59D0">
              <w:rPr>
                <w:rFonts w:ascii="Arial" w:hAnsi="Arial" w:cs="Arial"/>
                <w:bCs/>
              </w:rPr>
              <w:t>1w of EU Regulation 765/2006</w:t>
            </w:r>
          </w:p>
          <w:p w14:paraId="0A6EF24D" w14:textId="77777777" w:rsidR="00554317" w:rsidRPr="0008621C" w:rsidRDefault="00554317" w:rsidP="00DA59D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7296C" w:rsidRPr="0008621C" w14:paraId="4B53A9D7" w14:textId="77777777" w:rsidTr="00AF13B7">
        <w:tc>
          <w:tcPr>
            <w:tcW w:w="4536" w:type="dxa"/>
            <w:shd w:val="clear" w:color="auto" w:fill="auto"/>
          </w:tcPr>
          <w:p w14:paraId="32EB8205" w14:textId="77777777" w:rsidR="0077296C" w:rsidRPr="001A1EF0" w:rsidRDefault="0077296C" w:rsidP="0077296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lang w:val="en-US"/>
              </w:rPr>
            </w:pPr>
            <w:r w:rsidRPr="00DA59D0">
              <w:rPr>
                <w:lang w:val="en-US"/>
              </w:rPr>
              <w:lastRenderedPageBreak/>
              <w:t>(</w:t>
            </w:r>
            <w:r w:rsidRPr="00DA59D0">
              <w:rPr>
                <w:rFonts w:cs="Arial"/>
                <w:bCs/>
                <w:sz w:val="22"/>
                <w:szCs w:val="22"/>
                <w:lang w:eastAsia="en-GB"/>
              </w:rPr>
              <w:t xml:space="preserve">a) </w:t>
            </w:r>
            <w:r w:rsidR="007A23B3" w:rsidRPr="00DA59D0">
              <w:rPr>
                <w:rFonts w:cs="Arial"/>
                <w:bCs/>
                <w:sz w:val="22"/>
                <w:szCs w:val="22"/>
                <w:lang w:eastAsia="en-GB"/>
              </w:rPr>
              <w:t xml:space="preserve">necessary </w:t>
            </w:r>
            <w:r w:rsidRPr="00DA59D0">
              <w:rPr>
                <w:rFonts w:cs="Arial"/>
                <w:bCs/>
                <w:sz w:val="22"/>
                <w:szCs w:val="22"/>
                <w:lang w:eastAsia="en-GB"/>
              </w:rPr>
              <w:t>for humanitarian purposes, such as delivering or facilitating the delivery of assistance, including medical supplies, food, or the transfer of humanitarian workers and related assistance or for evacuations</w:t>
            </w:r>
            <w:r w:rsidR="00B5075C">
              <w:rPr>
                <w:rFonts w:cs="Arial"/>
                <w:bCs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5431" w:type="dxa"/>
            <w:shd w:val="clear" w:color="auto" w:fill="auto"/>
          </w:tcPr>
          <w:p w14:paraId="0FE7D143" w14:textId="77777777" w:rsidR="0077296C" w:rsidRPr="0008621C" w:rsidRDefault="0077296C" w:rsidP="0077296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7296C" w:rsidRPr="0008621C" w14:paraId="4DD1EA87" w14:textId="77777777" w:rsidTr="00AF13B7">
        <w:tc>
          <w:tcPr>
            <w:tcW w:w="4536" w:type="dxa"/>
            <w:shd w:val="clear" w:color="auto" w:fill="auto"/>
          </w:tcPr>
          <w:p w14:paraId="63A78747" w14:textId="77777777" w:rsidR="0077296C" w:rsidRDefault="0077296C" w:rsidP="0077296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eastAsia="en-GB"/>
              </w:rPr>
            </w:pPr>
            <w:r w:rsidRPr="00DA59D0">
              <w:rPr>
                <w:lang w:val="en-US"/>
              </w:rPr>
              <w:t xml:space="preserve">(b) </w:t>
            </w:r>
            <w:r w:rsidR="005021B4" w:rsidRPr="00DA59D0">
              <w:rPr>
                <w:rFonts w:cs="Arial"/>
                <w:bCs/>
                <w:sz w:val="22"/>
                <w:szCs w:val="22"/>
                <w:lang w:eastAsia="en-GB"/>
              </w:rPr>
              <w:t xml:space="preserve">necessary </w:t>
            </w:r>
            <w:r w:rsidRPr="00DA59D0">
              <w:rPr>
                <w:rFonts w:cs="Arial"/>
                <w:bCs/>
                <w:sz w:val="22"/>
                <w:szCs w:val="22"/>
                <w:lang w:eastAsia="en-GB"/>
              </w:rPr>
              <w:t>for civil society activities that directly promote democracy, human rights or the rule of law in Russia</w:t>
            </w:r>
            <w:r w:rsidR="00447D36" w:rsidRPr="00DA59D0">
              <w:rPr>
                <w:rFonts w:cs="Arial"/>
                <w:bCs/>
                <w:sz w:val="22"/>
                <w:szCs w:val="22"/>
                <w:lang w:eastAsia="en-GB"/>
              </w:rPr>
              <w:t xml:space="preserve"> / Belarus</w:t>
            </w:r>
            <w:r w:rsidRPr="00DA59D0">
              <w:rPr>
                <w:rFonts w:cs="Arial"/>
                <w:bCs/>
                <w:sz w:val="22"/>
                <w:szCs w:val="22"/>
                <w:lang w:eastAsia="en-GB"/>
              </w:rPr>
              <w:t>.</w:t>
            </w:r>
          </w:p>
          <w:p w14:paraId="2CFD9765" w14:textId="77777777" w:rsidR="00C9402C" w:rsidRDefault="00C9402C" w:rsidP="0077296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Arial Unicode MS" w:hAnsi="Arial Unicode MS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31" w:type="dxa"/>
            <w:shd w:val="clear" w:color="auto" w:fill="auto"/>
          </w:tcPr>
          <w:p w14:paraId="17A5C70D" w14:textId="77777777" w:rsidR="0077296C" w:rsidRPr="0008621C" w:rsidRDefault="0077296C" w:rsidP="0077296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7296C" w:rsidRPr="00296885" w14:paraId="4D8A71A4" w14:textId="77777777" w:rsidTr="00AF13B7">
        <w:tc>
          <w:tcPr>
            <w:tcW w:w="4536" w:type="dxa"/>
            <w:shd w:val="clear" w:color="auto" w:fill="auto"/>
          </w:tcPr>
          <w:p w14:paraId="5ABADE7E" w14:textId="2A5985BC" w:rsidR="00554317" w:rsidRDefault="0077296C" w:rsidP="0077296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u w:val="single"/>
                <w:lang w:val="en-US"/>
              </w:rPr>
            </w:pPr>
            <w:r w:rsidRPr="00AD3FD6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 xml:space="preserve"> Information of </w:t>
            </w:r>
            <w:r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>deposit*</w:t>
            </w:r>
            <w:r>
              <w:rPr>
                <w:rStyle w:val="FootnoteReference"/>
                <w:rFonts w:cs="Arial"/>
                <w:bCs/>
                <w:sz w:val="22"/>
                <w:szCs w:val="22"/>
                <w:u w:val="single"/>
                <w:lang w:val="en-US"/>
              </w:rPr>
              <w:footnoteReference w:id="2"/>
            </w:r>
            <w:r w:rsidR="008751C2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>:</w:t>
            </w:r>
          </w:p>
          <w:p w14:paraId="4DF672B2" w14:textId="0C7F0D11" w:rsidR="00554317" w:rsidRPr="00AD3FD6" w:rsidRDefault="00554317" w:rsidP="0077296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u w:val="single"/>
                <w:lang w:val="en-US"/>
              </w:rPr>
            </w:pPr>
          </w:p>
          <w:p w14:paraId="029AF83A" w14:textId="77777777" w:rsidR="0077296C" w:rsidRDefault="0077296C" w:rsidP="00194926">
            <w:pPr>
              <w:pStyle w:val="Numpara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Name and number of a/c(s)</w:t>
            </w:r>
          </w:p>
          <w:p w14:paraId="0E316938" w14:textId="77777777" w:rsidR="0077296C" w:rsidRDefault="0077296C" w:rsidP="0077296C">
            <w:pPr>
              <w:pStyle w:val="Numpara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IBAN number(s) </w:t>
            </w:r>
          </w:p>
          <w:p w14:paraId="189E39E7" w14:textId="77777777" w:rsidR="0077296C" w:rsidRDefault="0077296C" w:rsidP="0077296C">
            <w:pPr>
              <w:pStyle w:val="Numpara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Type of Account </w:t>
            </w:r>
          </w:p>
          <w:p w14:paraId="09201203" w14:textId="77777777" w:rsidR="0077296C" w:rsidRDefault="0077296C" w:rsidP="0077296C">
            <w:pPr>
              <w:pStyle w:val="Numpara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Account currency </w:t>
            </w:r>
          </w:p>
          <w:p w14:paraId="2E5FAE52" w14:textId="77777777" w:rsidR="0077296C" w:rsidRDefault="0077296C" w:rsidP="0077296C">
            <w:pPr>
              <w:pStyle w:val="Numpara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Date the account(s) was set under sanctions </w:t>
            </w:r>
          </w:p>
          <w:p w14:paraId="27AF403B" w14:textId="77777777" w:rsidR="0077296C" w:rsidRDefault="0077296C" w:rsidP="0077296C">
            <w:pPr>
              <w:pStyle w:val="Numpara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bookmarkStart w:id="1" w:name="_Hlk99373148"/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Credit balance of a/c(s) </w:t>
            </w:r>
            <w:bookmarkEnd w:id="1"/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 at application date</w:t>
            </w:r>
          </w:p>
          <w:p w14:paraId="093FD301" w14:textId="77777777" w:rsidR="0077296C" w:rsidRDefault="0077296C" w:rsidP="0077296C">
            <w:pPr>
              <w:pStyle w:val="Numpara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Amount of Exempted deposit </w:t>
            </w:r>
            <w:r w:rsidRPr="001507F0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 authorization is requested</w:t>
            </w:r>
          </w:p>
          <w:p w14:paraId="28448F02" w14:textId="52F0AB95" w:rsidR="0077296C" w:rsidRPr="00B632DB" w:rsidRDefault="0077296C" w:rsidP="00B632DB">
            <w:pPr>
              <w:pStyle w:val="Numpara"/>
              <w:numPr>
                <w:ilvl w:val="0"/>
                <w:numId w:val="0"/>
              </w:numPr>
              <w:spacing w:before="60" w:after="60"/>
              <w:ind w:left="36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In case of legal person(s) or other legal entity, please explain the relationship with the person under sanctions (UBO, % of capital)</w:t>
            </w:r>
          </w:p>
        </w:tc>
        <w:tc>
          <w:tcPr>
            <w:tcW w:w="5431" w:type="dxa"/>
            <w:shd w:val="clear" w:color="auto" w:fill="auto"/>
          </w:tcPr>
          <w:p w14:paraId="692F101F" w14:textId="77777777" w:rsidR="0077296C" w:rsidRPr="00296885" w:rsidRDefault="0077296C" w:rsidP="0077296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77296C" w:rsidRPr="00296885" w14:paraId="61139CFF" w14:textId="77777777" w:rsidTr="00AF13B7">
        <w:tc>
          <w:tcPr>
            <w:tcW w:w="4536" w:type="dxa"/>
            <w:shd w:val="clear" w:color="auto" w:fill="auto"/>
          </w:tcPr>
          <w:p w14:paraId="53368E7F" w14:textId="498E0544" w:rsidR="00554317" w:rsidRDefault="0077296C" w:rsidP="00B632DB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u w:val="single"/>
                <w:lang w:val="en-US"/>
              </w:rPr>
            </w:pPr>
            <w:r w:rsidRPr="00B5075C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 xml:space="preserve">Information </w:t>
            </w:r>
            <w:r w:rsidR="00B5075C" w:rsidRPr="00B632DB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>regarding</w:t>
            </w:r>
            <w:r w:rsidR="007034F2" w:rsidRPr="00B5075C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 xml:space="preserve"> the </w:t>
            </w:r>
            <w:r w:rsidR="00554317" w:rsidRPr="00B632DB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 xml:space="preserve">provision of </w:t>
            </w:r>
            <w:r w:rsidR="00A42195" w:rsidRPr="00B5075C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>crypto</w:t>
            </w:r>
            <w:r w:rsidR="00A42195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 xml:space="preserve">-asset </w:t>
            </w:r>
            <w:r w:rsidR="00554317" w:rsidRPr="00B632DB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>wallet, account or custody service</w:t>
            </w:r>
            <w:r w:rsidR="008751C2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>:</w:t>
            </w:r>
          </w:p>
          <w:p w14:paraId="6F0589E2" w14:textId="77777777" w:rsidR="00554317" w:rsidRPr="00B632DB" w:rsidRDefault="00554317" w:rsidP="00B632DB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u w:val="single"/>
                <w:lang w:val="en-US"/>
              </w:rPr>
            </w:pPr>
          </w:p>
          <w:p w14:paraId="42878495" w14:textId="77777777" w:rsidR="00342E2B" w:rsidRDefault="0077296C" w:rsidP="0077296C">
            <w:pPr>
              <w:pStyle w:val="Numpara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Name </w:t>
            </w:r>
            <w:r w:rsidR="008751C2">
              <w:rPr>
                <w:rFonts w:cs="Arial"/>
                <w:bCs/>
                <w:sz w:val="22"/>
                <w:szCs w:val="22"/>
                <w:lang w:val="en-US"/>
              </w:rPr>
              <w:t>of the crypto</w:t>
            </w:r>
            <w:r w:rsidR="00A42195">
              <w:rPr>
                <w:rFonts w:cs="Arial"/>
                <w:bCs/>
                <w:sz w:val="22"/>
                <w:szCs w:val="22"/>
                <w:lang w:val="en-US"/>
              </w:rPr>
              <w:t>-asset</w:t>
            </w:r>
            <w:r w:rsidR="008751C2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r w:rsidR="008751C2" w:rsidRPr="008751C2">
              <w:rPr>
                <w:rFonts w:cs="Arial"/>
                <w:bCs/>
                <w:sz w:val="22"/>
                <w:szCs w:val="22"/>
                <w:lang w:val="en-US"/>
              </w:rPr>
              <w:t>wallet, account or custody service</w:t>
            </w:r>
          </w:p>
          <w:p w14:paraId="63F62E1B" w14:textId="0124F6DB" w:rsidR="008751C2" w:rsidRDefault="00342E2B" w:rsidP="00342E2B">
            <w:pPr>
              <w:pStyle w:val="Numpara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 w:rsidRPr="00342E2B">
              <w:rPr>
                <w:rFonts w:cs="Arial"/>
                <w:bCs/>
                <w:sz w:val="22"/>
                <w:szCs w:val="22"/>
                <w:lang w:val="en-US"/>
              </w:rPr>
              <w:t>Names of the counterparties involved</w:t>
            </w:r>
          </w:p>
          <w:p w14:paraId="01C052E2" w14:textId="73A1137D" w:rsidR="0077296C" w:rsidRDefault="008751C2" w:rsidP="008751C2">
            <w:pPr>
              <w:pStyle w:val="Numpara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Public Key of </w:t>
            </w:r>
            <w:r w:rsidRPr="00194926">
              <w:rPr>
                <w:rFonts w:cs="Arial"/>
                <w:bCs/>
                <w:sz w:val="22"/>
                <w:szCs w:val="22"/>
                <w:lang w:val="en-US"/>
              </w:rPr>
              <w:t xml:space="preserve">the </w:t>
            </w:r>
            <w:r w:rsidR="00A2702F">
              <w:rPr>
                <w:rFonts w:cs="Arial"/>
                <w:bCs/>
                <w:sz w:val="22"/>
                <w:szCs w:val="22"/>
                <w:lang w:val="en-US"/>
              </w:rPr>
              <w:t xml:space="preserve">crypto-asset </w:t>
            </w:r>
            <w:r w:rsidR="00A2702F" w:rsidRPr="008751C2">
              <w:rPr>
                <w:rFonts w:cs="Arial"/>
                <w:bCs/>
                <w:sz w:val="22"/>
                <w:szCs w:val="22"/>
                <w:lang w:val="en-US"/>
              </w:rPr>
              <w:t>wallet, account or custody service</w:t>
            </w:r>
          </w:p>
          <w:p w14:paraId="4A38665E" w14:textId="641B9236" w:rsidR="008751C2" w:rsidRPr="00B632DB" w:rsidRDefault="0077296C" w:rsidP="00194926">
            <w:pPr>
              <w:pStyle w:val="Numpara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Type of </w:t>
            </w:r>
            <w:r w:rsidR="008751C2">
              <w:rPr>
                <w:rFonts w:cs="Arial"/>
                <w:bCs/>
                <w:sz w:val="22"/>
                <w:szCs w:val="22"/>
                <w:lang w:val="en-US"/>
              </w:rPr>
              <w:t xml:space="preserve">the </w:t>
            </w:r>
            <w:r w:rsidR="00A2702F">
              <w:rPr>
                <w:rFonts w:cs="Arial"/>
                <w:bCs/>
                <w:sz w:val="22"/>
                <w:szCs w:val="22"/>
                <w:lang w:val="en-US"/>
              </w:rPr>
              <w:t xml:space="preserve">crypto-asset </w:t>
            </w:r>
            <w:r w:rsidR="00A2702F" w:rsidRPr="008751C2">
              <w:rPr>
                <w:rFonts w:cs="Arial"/>
                <w:bCs/>
                <w:sz w:val="22"/>
                <w:szCs w:val="22"/>
                <w:lang w:val="en-US"/>
              </w:rPr>
              <w:t>wallet, account or custody service</w:t>
            </w:r>
          </w:p>
          <w:p w14:paraId="76B85F55" w14:textId="092CB9C8" w:rsidR="0077296C" w:rsidRPr="00B632DB" w:rsidRDefault="008751C2" w:rsidP="00F05DBB">
            <w:pPr>
              <w:pStyle w:val="Numpara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Crypto assets included in the </w:t>
            </w:r>
            <w:r w:rsidR="006B3397">
              <w:rPr>
                <w:rFonts w:cs="Arial"/>
                <w:bCs/>
                <w:sz w:val="22"/>
                <w:szCs w:val="22"/>
                <w:lang w:val="en-US"/>
              </w:rPr>
              <w:t xml:space="preserve">crypto-asset </w:t>
            </w:r>
            <w:r w:rsidR="006B3397" w:rsidRPr="008751C2">
              <w:rPr>
                <w:rFonts w:cs="Arial"/>
                <w:bCs/>
                <w:sz w:val="22"/>
                <w:szCs w:val="22"/>
                <w:lang w:val="en-US"/>
              </w:rPr>
              <w:t>wallet, account or custody service</w:t>
            </w:r>
          </w:p>
          <w:p w14:paraId="1A2E3AFD" w14:textId="65F0FEAD" w:rsidR="0077296C" w:rsidRDefault="0077296C" w:rsidP="009C353E">
            <w:pPr>
              <w:pStyle w:val="Numpara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lastRenderedPageBreak/>
              <w:t xml:space="preserve">Date </w:t>
            </w:r>
            <w:r w:rsidR="00B5075C">
              <w:rPr>
                <w:rFonts w:cs="Arial"/>
                <w:bCs/>
                <w:sz w:val="22"/>
                <w:szCs w:val="22"/>
                <w:lang w:val="en-US"/>
              </w:rPr>
              <w:t xml:space="preserve">that 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the </w:t>
            </w:r>
            <w:r w:rsidR="006B3397">
              <w:rPr>
                <w:rFonts w:cs="Arial"/>
                <w:bCs/>
                <w:sz w:val="22"/>
                <w:szCs w:val="22"/>
                <w:lang w:val="en-US"/>
              </w:rPr>
              <w:t xml:space="preserve">crypto-asset </w:t>
            </w:r>
            <w:r w:rsidR="006B3397" w:rsidRPr="008751C2">
              <w:rPr>
                <w:rFonts w:cs="Arial"/>
                <w:bCs/>
                <w:sz w:val="22"/>
                <w:szCs w:val="22"/>
                <w:lang w:val="en-US"/>
              </w:rPr>
              <w:t>wallet, account or custody service</w:t>
            </w:r>
            <w:r w:rsidR="006B3397" w:rsidRPr="008751C2" w:rsidDel="008751C2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was set under sanctions </w:t>
            </w:r>
          </w:p>
          <w:p w14:paraId="7A99C02B" w14:textId="67A0994F" w:rsidR="0077296C" w:rsidRDefault="00342E2B" w:rsidP="009C353E">
            <w:pPr>
              <w:pStyle w:val="Numpara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Total </w:t>
            </w:r>
            <w:r w:rsidR="009C353E">
              <w:rPr>
                <w:rFonts w:cs="Arial"/>
                <w:bCs/>
                <w:sz w:val="22"/>
                <w:szCs w:val="22"/>
                <w:lang w:val="en-US"/>
              </w:rPr>
              <w:t xml:space="preserve">Value of 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crypto-asset </w:t>
            </w:r>
            <w:r w:rsidRPr="008751C2">
              <w:rPr>
                <w:rFonts w:cs="Arial"/>
                <w:bCs/>
                <w:sz w:val="22"/>
                <w:szCs w:val="22"/>
                <w:lang w:val="en-US"/>
              </w:rPr>
              <w:t>wallet, account or custody service</w:t>
            </w:r>
            <w:r w:rsidRPr="008751C2" w:rsidDel="008751C2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r w:rsidR="0077296C">
              <w:rPr>
                <w:rFonts w:cs="Arial"/>
                <w:bCs/>
                <w:sz w:val="22"/>
                <w:szCs w:val="22"/>
                <w:lang w:val="en-US"/>
              </w:rPr>
              <w:t>at application date</w:t>
            </w:r>
          </w:p>
          <w:p w14:paraId="56750043" w14:textId="77777777" w:rsidR="0077296C" w:rsidRPr="00296885" w:rsidRDefault="0077296C" w:rsidP="0077296C">
            <w:pPr>
              <w:pStyle w:val="Numpara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In case of legal person(s) or other legal entity, please explain the relationship with the person under sanctions (UBO, % of capital)</w:t>
            </w:r>
          </w:p>
          <w:p w14:paraId="6197EDC5" w14:textId="77777777" w:rsidR="0077296C" w:rsidRPr="00C905F0" w:rsidRDefault="0077296C" w:rsidP="0077296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431" w:type="dxa"/>
            <w:shd w:val="clear" w:color="auto" w:fill="auto"/>
          </w:tcPr>
          <w:p w14:paraId="1C8979D5" w14:textId="77777777" w:rsidR="0077296C" w:rsidRPr="00296885" w:rsidRDefault="0077296C" w:rsidP="0077296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77296C" w:rsidRPr="00296885" w14:paraId="3AF16F9E" w14:textId="77777777" w:rsidTr="00AF13B7">
        <w:tc>
          <w:tcPr>
            <w:tcW w:w="4536" w:type="dxa"/>
            <w:shd w:val="clear" w:color="auto" w:fill="auto"/>
          </w:tcPr>
          <w:p w14:paraId="487ABA74" w14:textId="2A20F019" w:rsidR="0077296C" w:rsidRPr="00C905F0" w:rsidRDefault="0077296C" w:rsidP="008D357B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 w:rsidRPr="00C905F0">
              <w:rPr>
                <w:rFonts w:cs="Arial"/>
                <w:bCs/>
                <w:sz w:val="22"/>
                <w:szCs w:val="22"/>
                <w:lang w:val="en-US"/>
              </w:rPr>
              <w:t xml:space="preserve">Number/Code and date of previous approval </w:t>
            </w:r>
            <w:r w:rsidR="008D357B">
              <w:rPr>
                <w:rFonts w:cs="Arial"/>
                <w:bCs/>
                <w:sz w:val="22"/>
                <w:szCs w:val="22"/>
                <w:lang w:val="en-US"/>
              </w:rPr>
              <w:t>(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>if applicable</w:t>
            </w:r>
            <w:r w:rsidR="008D357B">
              <w:rPr>
                <w:rFonts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431" w:type="dxa"/>
            <w:shd w:val="clear" w:color="auto" w:fill="auto"/>
          </w:tcPr>
          <w:p w14:paraId="274FC97C" w14:textId="77777777" w:rsidR="0077296C" w:rsidRPr="00296885" w:rsidRDefault="0077296C" w:rsidP="0077296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bookmarkEnd w:id="0"/>
    </w:tbl>
    <w:p w14:paraId="5B53C482" w14:textId="77777777" w:rsidR="00C66CD8" w:rsidRPr="0008621C" w:rsidRDefault="00C66CD8" w:rsidP="00C66CD8">
      <w:pPr>
        <w:spacing w:after="0"/>
        <w:rPr>
          <w:rFonts w:ascii="Arial" w:hAnsi="Arial" w:cs="Arial"/>
          <w:b/>
          <w:lang w:val="en-US"/>
        </w:rPr>
      </w:pPr>
    </w:p>
    <w:p w14:paraId="0B88FB7B" w14:textId="77777777" w:rsidR="00C66CD8" w:rsidRPr="00D14384" w:rsidRDefault="00296885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  <w:lang w:val="en-US"/>
        </w:rPr>
        <w:t>PART</w:t>
      </w:r>
      <w:r w:rsidR="00D14384" w:rsidRPr="00FC1633">
        <w:rPr>
          <w:rFonts w:cs="Arial"/>
          <w:b/>
          <w:bCs/>
          <w:sz w:val="22"/>
          <w:szCs w:val="22"/>
          <w:lang w:val="en-US"/>
        </w:rPr>
        <w:t xml:space="preserve"> </w:t>
      </w:r>
      <w:r w:rsidR="00ED350E">
        <w:rPr>
          <w:rFonts w:cs="Arial"/>
          <w:b/>
          <w:bCs/>
          <w:sz w:val="22"/>
          <w:szCs w:val="22"/>
          <w:lang w:val="el-GR"/>
        </w:rPr>
        <w:t>Α</w:t>
      </w:r>
    </w:p>
    <w:p w14:paraId="21244BFE" w14:textId="77777777" w:rsidR="00C66CD8" w:rsidRPr="00D14384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F675E4" w:rsidRPr="00296885" w14:paraId="48843B69" w14:textId="77777777" w:rsidTr="00ED350E">
        <w:tc>
          <w:tcPr>
            <w:tcW w:w="9967" w:type="dxa"/>
          </w:tcPr>
          <w:p w14:paraId="08840C7E" w14:textId="292B7622" w:rsidR="00296885" w:rsidRPr="00662E4D" w:rsidRDefault="00296885" w:rsidP="00296885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Explain </w:t>
            </w:r>
            <w:r w:rsidR="001F5337">
              <w:rPr>
                <w:rFonts w:cs="Arial"/>
                <w:bCs/>
                <w:sz w:val="22"/>
                <w:szCs w:val="22"/>
                <w:lang w:val="en-US"/>
              </w:rPr>
              <w:t xml:space="preserve">why </w:t>
            </w:r>
            <w:r w:rsidR="00BC100D">
              <w:rPr>
                <w:rFonts w:cs="Arial"/>
                <w:bCs/>
                <w:sz w:val="22"/>
                <w:szCs w:val="22"/>
                <w:lang w:val="en-US"/>
              </w:rPr>
              <w:t>the deposit</w:t>
            </w:r>
            <w:r w:rsidR="008D357B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r w:rsidR="00194926" w:rsidRPr="00B632DB">
              <w:rPr>
                <w:rFonts w:cs="Arial"/>
                <w:bCs/>
                <w:sz w:val="22"/>
                <w:szCs w:val="22"/>
                <w:lang w:val="en-US"/>
              </w:rPr>
              <w:t>or provision of wallet</w:t>
            </w:r>
            <w:r w:rsidR="003B4FD5" w:rsidRPr="00B632DB">
              <w:rPr>
                <w:rFonts w:cs="Arial"/>
                <w:bCs/>
                <w:sz w:val="22"/>
                <w:szCs w:val="22"/>
                <w:lang w:val="en-US"/>
              </w:rPr>
              <w:t xml:space="preserve"> or </w:t>
            </w:r>
            <w:r w:rsidR="00194926" w:rsidRPr="00B632DB">
              <w:rPr>
                <w:rFonts w:cs="Arial"/>
                <w:bCs/>
                <w:sz w:val="22"/>
                <w:szCs w:val="22"/>
                <w:lang w:val="en-US"/>
              </w:rPr>
              <w:t>account or custody service</w:t>
            </w:r>
            <w:r w:rsidR="00BC100D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r w:rsidR="003B4FD5">
              <w:rPr>
                <w:rFonts w:cs="Arial"/>
                <w:bCs/>
                <w:sz w:val="22"/>
                <w:szCs w:val="22"/>
                <w:lang w:val="en-US"/>
              </w:rPr>
              <w:t xml:space="preserve">is </w:t>
            </w:r>
            <w:r w:rsidR="00BC100D">
              <w:rPr>
                <w:rFonts w:cs="Arial"/>
                <w:bCs/>
                <w:sz w:val="22"/>
                <w:szCs w:val="22"/>
                <w:lang w:val="en-US"/>
              </w:rPr>
              <w:t xml:space="preserve">indeed required for the purposes providing the grounds for an exemption </w:t>
            </w:r>
            <w:r w:rsidR="00A42195">
              <w:rPr>
                <w:rFonts w:cs="Arial"/>
                <w:bCs/>
                <w:sz w:val="22"/>
                <w:szCs w:val="22"/>
                <w:lang w:val="en-US"/>
              </w:rPr>
              <w:t>under</w:t>
            </w:r>
            <w:r w:rsidR="008751C2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r w:rsidR="00BC100D">
              <w:rPr>
                <w:rFonts w:cs="Arial"/>
                <w:bCs/>
                <w:sz w:val="22"/>
                <w:szCs w:val="22"/>
                <w:lang w:val="en-US"/>
              </w:rPr>
              <w:t>Article</w:t>
            </w:r>
            <w:r w:rsidR="00624EA1">
              <w:rPr>
                <w:rFonts w:cs="Arial"/>
                <w:bCs/>
                <w:sz w:val="22"/>
                <w:szCs w:val="22"/>
                <w:lang w:val="en-US"/>
              </w:rPr>
              <w:t>s</w:t>
            </w:r>
            <w:r w:rsidR="00BC100D">
              <w:rPr>
                <w:rFonts w:cs="Arial"/>
                <w:bCs/>
                <w:sz w:val="22"/>
                <w:szCs w:val="22"/>
                <w:lang w:val="en-US"/>
              </w:rPr>
              <w:t xml:space="preserve"> 5c</w:t>
            </w:r>
            <w:r w:rsidR="00624EA1">
              <w:rPr>
                <w:rFonts w:cs="Arial"/>
                <w:bCs/>
                <w:sz w:val="22"/>
                <w:szCs w:val="22"/>
                <w:lang w:val="en-US"/>
              </w:rPr>
              <w:t xml:space="preserve"> or 5d of EU Regulation 833/2014 or Articles 1v or 1w of </w:t>
            </w:r>
            <w:r w:rsidR="00624EA1" w:rsidRPr="0077296C">
              <w:rPr>
                <w:rFonts w:cs="Arial"/>
                <w:bCs/>
                <w:sz w:val="22"/>
                <w:szCs w:val="22"/>
                <w:lang w:val="en-US"/>
              </w:rPr>
              <w:t>Regulation 765/2006</w:t>
            </w:r>
            <w:r w:rsidRPr="00662E4D">
              <w:rPr>
                <w:rFonts w:cs="Arial"/>
                <w:bCs/>
                <w:sz w:val="22"/>
                <w:szCs w:val="22"/>
                <w:lang w:val="en-US"/>
              </w:rPr>
              <w:t>.</w:t>
            </w:r>
          </w:p>
          <w:p w14:paraId="4CE0009C" w14:textId="77777777" w:rsidR="00F675E4" w:rsidRPr="00296885" w:rsidRDefault="00F675E4" w:rsidP="00AC4845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F675E4" w:rsidRPr="00296885" w14:paraId="42C560D5" w14:textId="77777777" w:rsidTr="00ED350E">
        <w:tc>
          <w:tcPr>
            <w:tcW w:w="9967" w:type="dxa"/>
          </w:tcPr>
          <w:p w14:paraId="13E803B6" w14:textId="77777777" w:rsidR="00F675E4" w:rsidRPr="00296885" w:rsidRDefault="00F675E4" w:rsidP="00AC4845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46E32B6B" w14:textId="77777777" w:rsidR="00F675E4" w:rsidRPr="00296885" w:rsidRDefault="00F675E4" w:rsidP="00AC4845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14057A98" w14:textId="77777777" w:rsidR="00F675E4" w:rsidRPr="00296885" w:rsidRDefault="00F675E4" w:rsidP="00AC4845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313CE114" w14:textId="77777777" w:rsidR="00F675E4" w:rsidRPr="00296885" w:rsidRDefault="00F675E4" w:rsidP="00AC4845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0793772A" w14:textId="77777777" w:rsidR="00F675E4" w:rsidRPr="00296885" w:rsidRDefault="00F675E4" w:rsidP="00AC4845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3F4F30E4" w14:textId="77777777" w:rsidR="0070155D" w:rsidRDefault="0070155D" w:rsidP="00AC4845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5C13823A" w14:textId="77777777" w:rsidR="008D357B" w:rsidRDefault="008D357B" w:rsidP="00AC4845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7377DE62" w14:textId="77777777" w:rsidR="008D357B" w:rsidRPr="00296885" w:rsidRDefault="008D357B" w:rsidP="00AC4845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589B4458" w14:textId="77777777" w:rsidR="00F675E4" w:rsidRPr="00296885" w:rsidRDefault="00F675E4" w:rsidP="00AC4845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5799CFCA" w14:textId="77777777" w:rsidR="00F675E4" w:rsidRPr="00296885" w:rsidRDefault="00F675E4" w:rsidP="00AC4845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2920AD29" w14:textId="77777777" w:rsidR="00C66CD8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</w:p>
    <w:p w14:paraId="180DE688" w14:textId="77777777" w:rsidR="00C66CD8" w:rsidRPr="00A45FDB" w:rsidRDefault="00296885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PART</w:t>
      </w:r>
      <w:r w:rsidR="00F675E4" w:rsidRPr="00A45FDB">
        <w:rPr>
          <w:rFonts w:cs="Arial"/>
          <w:b/>
          <w:bCs/>
          <w:sz w:val="22"/>
          <w:szCs w:val="22"/>
          <w:lang w:val="en-US"/>
        </w:rPr>
        <w:t xml:space="preserve"> </w:t>
      </w:r>
      <w:r w:rsidR="00ED350E">
        <w:rPr>
          <w:rFonts w:cs="Arial"/>
          <w:b/>
          <w:bCs/>
          <w:sz w:val="22"/>
          <w:szCs w:val="22"/>
          <w:lang w:val="el-GR"/>
        </w:rPr>
        <w:t>Β</w:t>
      </w:r>
    </w:p>
    <w:p w14:paraId="6851BDEE" w14:textId="77777777" w:rsidR="00C04E13" w:rsidRPr="00A45FDB" w:rsidRDefault="00C04E13" w:rsidP="00C04E13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</w:p>
    <w:p w14:paraId="22F03B17" w14:textId="77777777" w:rsidR="00296885" w:rsidRPr="00A4774D" w:rsidRDefault="00A45FDB" w:rsidP="0029688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Please list the submitted documents of your application with a reference in order to process your application more easily. 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7"/>
      </w:tblGrid>
      <w:tr w:rsidR="00840CF9" w:rsidRPr="00A45FDB" w14:paraId="23414540" w14:textId="77777777" w:rsidTr="0070155D">
        <w:trPr>
          <w:cantSplit/>
          <w:trHeight w:val="374"/>
        </w:trPr>
        <w:tc>
          <w:tcPr>
            <w:tcW w:w="9967" w:type="dxa"/>
          </w:tcPr>
          <w:p w14:paraId="75179CD8" w14:textId="77777777" w:rsidR="00840CF9" w:rsidRPr="00A45FDB" w:rsidRDefault="00840CF9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25E91337" w14:textId="77777777" w:rsidR="00840CF9" w:rsidRPr="00A45FDB" w:rsidRDefault="00840CF9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7992EB7C" w14:textId="77777777" w:rsidR="00840CF9" w:rsidRPr="00A45FDB" w:rsidRDefault="00840CF9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1460F154" w14:textId="77777777" w:rsidR="00840CF9" w:rsidRPr="00A45FDB" w:rsidRDefault="00840CF9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6616F1F7" w14:textId="77777777" w:rsidR="00840CF9" w:rsidRPr="00A45FDB" w:rsidRDefault="00840CF9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194D7164" w14:textId="77777777" w:rsidR="00840CF9" w:rsidRPr="00A45FDB" w:rsidRDefault="00840CF9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4B03C8F1" w14:textId="77777777" w:rsidR="0070155D" w:rsidRPr="00A45FDB" w:rsidRDefault="0070155D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6B40A78E" w14:textId="77777777" w:rsidR="0070155D" w:rsidRPr="00A45FDB" w:rsidRDefault="0070155D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2A68E2E8" w14:textId="77777777" w:rsidR="0070155D" w:rsidRPr="00A45FDB" w:rsidRDefault="0070155D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14D59C8D" w14:textId="77777777" w:rsidR="0070155D" w:rsidRPr="00A45FDB" w:rsidRDefault="0070155D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61E37E86" w14:textId="77777777" w:rsidR="0070155D" w:rsidRPr="00A45FDB" w:rsidRDefault="0070155D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6F79C872" w14:textId="77777777" w:rsidR="0070155D" w:rsidRPr="00A45FDB" w:rsidRDefault="0070155D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2E0BC197" w14:textId="77777777" w:rsidR="00840CF9" w:rsidRPr="00A45FDB" w:rsidRDefault="00840CF9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140E8138" w14:textId="77777777" w:rsidR="00840CF9" w:rsidRPr="00A45FDB" w:rsidRDefault="00840CF9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0B800023" w14:textId="77777777" w:rsidR="00840CF9" w:rsidRPr="00A45FDB" w:rsidRDefault="00840CF9" w:rsidP="00AC484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4891FA6F" w14:textId="77777777" w:rsidR="00840CF9" w:rsidRPr="00A45FDB" w:rsidRDefault="00840CF9" w:rsidP="0070155D">
            <w:pPr>
              <w:pStyle w:val="Footer"/>
              <w:jc w:val="both"/>
              <w:rPr>
                <w:lang w:val="en-US"/>
              </w:rPr>
            </w:pPr>
          </w:p>
        </w:tc>
      </w:tr>
    </w:tbl>
    <w:p w14:paraId="1A0A6252" w14:textId="28DBAA77" w:rsidR="00FC1633" w:rsidRPr="00FC1633" w:rsidRDefault="00FC1633" w:rsidP="00FC163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4774D">
        <w:rPr>
          <w:rFonts w:ascii="Arial" w:hAnsi="Arial" w:cs="Arial"/>
          <w:sz w:val="24"/>
          <w:szCs w:val="24"/>
          <w:lang w:val="en-US"/>
        </w:rPr>
        <w:t xml:space="preserve">The application should be sent by the </w:t>
      </w:r>
      <w:r w:rsidR="00776F11">
        <w:rPr>
          <w:rFonts w:ascii="Arial" w:hAnsi="Arial" w:cs="Arial"/>
          <w:sz w:val="24"/>
          <w:szCs w:val="24"/>
          <w:lang w:val="en-US"/>
        </w:rPr>
        <w:t>applicant</w:t>
      </w:r>
      <w:r w:rsidRPr="00A4774D">
        <w:rPr>
          <w:rFonts w:ascii="Arial" w:hAnsi="Arial" w:cs="Arial"/>
          <w:sz w:val="24"/>
          <w:szCs w:val="24"/>
          <w:lang w:val="en-US"/>
        </w:rPr>
        <w:t xml:space="preserve"> to SEOK at the email address: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hyperlink r:id="rId9" w:history="1">
        <w:r w:rsidRPr="00FC1633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seok@mof.gov.cy</w:t>
        </w:r>
      </w:hyperlink>
      <w:r w:rsidRPr="00FC163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9E277F8" w14:textId="77777777" w:rsidR="00FC1633" w:rsidRPr="00FC1633" w:rsidRDefault="00FC1633" w:rsidP="00037E1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FC1633" w:rsidRPr="00FC1633" w:rsidSect="00CA31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46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75B1" w14:textId="77777777" w:rsidR="008241E2" w:rsidRDefault="008241E2" w:rsidP="00C66CD8">
      <w:pPr>
        <w:spacing w:after="0" w:line="240" w:lineRule="auto"/>
      </w:pPr>
      <w:r>
        <w:separator/>
      </w:r>
    </w:p>
  </w:endnote>
  <w:endnote w:type="continuationSeparator" w:id="0">
    <w:p w14:paraId="201D85BF" w14:textId="77777777" w:rsidR="008241E2" w:rsidRDefault="008241E2" w:rsidP="00C6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030F" w14:textId="77777777" w:rsidR="00DA59D0" w:rsidRDefault="00DA59D0" w:rsidP="00AC484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446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338E1F" w14:textId="78DBD78A" w:rsidR="003C68EB" w:rsidRDefault="003C6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F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5BD818" w14:textId="77777777" w:rsidR="00DA59D0" w:rsidRPr="000D341C" w:rsidRDefault="00DA59D0" w:rsidP="007128CE">
    <w:pPr>
      <w:pStyle w:val="Footer"/>
      <w:jc w:val="cen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9B2D" w14:textId="77777777" w:rsidR="00DA59D0" w:rsidRDefault="00DA59D0" w:rsidP="00AC48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DE74" w14:textId="77777777" w:rsidR="008241E2" w:rsidRDefault="008241E2" w:rsidP="00C66CD8">
      <w:pPr>
        <w:spacing w:after="0" w:line="240" w:lineRule="auto"/>
      </w:pPr>
      <w:r>
        <w:separator/>
      </w:r>
    </w:p>
  </w:footnote>
  <w:footnote w:type="continuationSeparator" w:id="0">
    <w:p w14:paraId="1105068E" w14:textId="77777777" w:rsidR="008241E2" w:rsidRDefault="008241E2" w:rsidP="00C66CD8">
      <w:pPr>
        <w:spacing w:after="0" w:line="240" w:lineRule="auto"/>
      </w:pPr>
      <w:r>
        <w:continuationSeparator/>
      </w:r>
    </w:p>
  </w:footnote>
  <w:footnote w:id="1">
    <w:p w14:paraId="22AA425E" w14:textId="77777777" w:rsidR="00DA59D0" w:rsidRPr="00194926" w:rsidRDefault="00DA59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59D0">
        <w:rPr>
          <w:i/>
        </w:rPr>
        <w:t xml:space="preserve">CIF that has a permission from </w:t>
      </w:r>
      <w:proofErr w:type="spellStart"/>
      <w:r w:rsidRPr="00DA59D0">
        <w:rPr>
          <w:i/>
        </w:rPr>
        <w:t>CySEC</w:t>
      </w:r>
      <w:proofErr w:type="spellEnd"/>
      <w:r w:rsidRPr="00DA59D0">
        <w:rPr>
          <w:i/>
        </w:rPr>
        <w:t xml:space="preserve"> to provide crypto-assets’ activities on a limited scale and submitted an application to be registered as CASP</w:t>
      </w:r>
      <w:r w:rsidRPr="00554317">
        <w:t>.</w:t>
      </w:r>
    </w:p>
  </w:footnote>
  <w:footnote w:id="2">
    <w:p w14:paraId="78C0D6A7" w14:textId="77777777" w:rsidR="00DA59D0" w:rsidRDefault="00DA59D0" w:rsidP="00147C87">
      <w:pPr>
        <w:pStyle w:val="FootnoteText"/>
      </w:pPr>
      <w:r>
        <w:rPr>
          <w:rStyle w:val="FootnoteReference"/>
        </w:rPr>
        <w:footnoteRef/>
      </w:r>
      <w:r>
        <w:t xml:space="preserve"> As defined in </w:t>
      </w:r>
      <w:r>
        <w:rPr>
          <w:lang w:val="en-IE"/>
        </w:rPr>
        <w:t>Article 1(k) of Council Regulation (EU) 833/2014 and Article 1(21) of Council Regulation (EC) 765/2006.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FB57" w14:textId="77777777" w:rsidR="00DA59D0" w:rsidRDefault="00DA59D0" w:rsidP="00AC484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2775" w14:textId="77777777" w:rsidR="00DA59D0" w:rsidRDefault="00DA59D0" w:rsidP="00026128">
    <w:pPr>
      <w:spacing w:line="240" w:lineRule="auto"/>
      <w:jc w:val="center"/>
      <w:rPr>
        <w:rFonts w:ascii="Arial" w:hAnsi="Arial" w:cs="Arial"/>
        <w:b/>
        <w:bCs/>
        <w:sz w:val="24"/>
        <w:szCs w:val="24"/>
        <w:lang w:val="en-US"/>
      </w:rPr>
    </w:pPr>
    <w:r w:rsidRPr="00296885">
      <w:rPr>
        <w:rFonts w:ascii="Arial" w:hAnsi="Arial" w:cs="Arial"/>
        <w:b/>
        <w:bCs/>
        <w:sz w:val="24"/>
        <w:szCs w:val="24"/>
        <w:lang w:val="en-US"/>
      </w:rPr>
      <w:t xml:space="preserve">                 </w:t>
    </w:r>
  </w:p>
  <w:p w14:paraId="21CDA34D" w14:textId="0964352F" w:rsidR="00DA59D0" w:rsidRPr="0024451A" w:rsidRDefault="00DA59D0" w:rsidP="00296885">
    <w:pPr>
      <w:spacing w:line="240" w:lineRule="auto"/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b/>
        <w:bCs/>
        <w:sz w:val="24"/>
        <w:szCs w:val="24"/>
        <w:lang w:val="en-US"/>
      </w:rPr>
      <w:t xml:space="preserve">SEOK </w:t>
    </w:r>
    <w:r w:rsidR="00776F11">
      <w:rPr>
        <w:rFonts w:ascii="Arial" w:hAnsi="Arial" w:cs="Arial"/>
        <w:b/>
        <w:bCs/>
        <w:sz w:val="24"/>
        <w:szCs w:val="24"/>
        <w:lang w:val="en-US"/>
      </w:rPr>
      <w:t>3</w:t>
    </w:r>
    <w:r w:rsidRPr="0024451A">
      <w:rPr>
        <w:rFonts w:ascii="Arial" w:hAnsi="Arial" w:cs="Arial"/>
        <w:b/>
        <w:bCs/>
        <w:sz w:val="24"/>
        <w:szCs w:val="24"/>
        <w:lang w:val="en-US"/>
      </w:rPr>
      <w:t>-</w:t>
    </w:r>
    <w:r>
      <w:rPr>
        <w:rFonts w:ascii="Arial" w:hAnsi="Arial" w:cs="Arial"/>
        <w:b/>
        <w:bCs/>
        <w:sz w:val="24"/>
        <w:szCs w:val="24"/>
        <w:lang w:val="el-GR"/>
      </w:rPr>
      <w:t>ΕΝ</w:t>
    </w:r>
  </w:p>
  <w:p w14:paraId="68FE74BF" w14:textId="77777777" w:rsidR="00DA59D0" w:rsidRDefault="00DA59D0" w:rsidP="00026128">
    <w:pPr>
      <w:spacing w:line="240" w:lineRule="auto"/>
      <w:jc w:val="center"/>
      <w:rPr>
        <w:rFonts w:ascii="Arial" w:hAnsi="Arial" w:cs="Arial"/>
        <w:b/>
        <w:bCs/>
        <w:sz w:val="24"/>
        <w:szCs w:val="24"/>
        <w:u w:val="single"/>
        <w:lang w:val="en-US"/>
      </w:rPr>
    </w:pPr>
    <w:r w:rsidRPr="00296885">
      <w:rPr>
        <w:rFonts w:ascii="Arial" w:hAnsi="Arial" w:cs="Arial"/>
        <w:b/>
        <w:bCs/>
        <w:sz w:val="24"/>
        <w:szCs w:val="24"/>
        <w:lang w:val="en-US"/>
      </w:rPr>
      <w:t xml:space="preserve"> </w:t>
    </w:r>
    <w:r>
      <w:rPr>
        <w:rFonts w:ascii="Arial" w:hAnsi="Arial" w:cs="Arial"/>
        <w:b/>
        <w:bCs/>
        <w:sz w:val="24"/>
        <w:szCs w:val="24"/>
        <w:u w:val="single"/>
        <w:lang w:val="en-US"/>
      </w:rPr>
      <w:t>Advisory Committee on Economic Sanctions (SEOK</w:t>
    </w:r>
    <w:r w:rsidRPr="00296885">
      <w:rPr>
        <w:rFonts w:ascii="Arial" w:hAnsi="Arial" w:cs="Arial"/>
        <w:b/>
        <w:bCs/>
        <w:sz w:val="24"/>
        <w:szCs w:val="24"/>
        <w:u w:val="single"/>
        <w:lang w:val="en-US"/>
      </w:rPr>
      <w:t>)</w:t>
    </w:r>
  </w:p>
  <w:p w14:paraId="04D1B0F0" w14:textId="479953A7" w:rsidR="00DA59D0" w:rsidRPr="00296885" w:rsidRDefault="00DA59D0" w:rsidP="00026128">
    <w:pPr>
      <w:spacing w:line="240" w:lineRule="auto"/>
      <w:jc w:val="center"/>
      <w:rPr>
        <w:rFonts w:ascii="Arial" w:hAnsi="Arial" w:cs="Arial"/>
        <w:b/>
        <w:bCs/>
        <w:sz w:val="24"/>
        <w:szCs w:val="24"/>
        <w:u w:val="single"/>
        <w:lang w:val="en-US"/>
      </w:rPr>
    </w:pPr>
    <w:r>
      <w:rPr>
        <w:rFonts w:ascii="Arial" w:hAnsi="Arial" w:cs="Arial"/>
        <w:b/>
        <w:bCs/>
        <w:sz w:val="24"/>
        <w:szCs w:val="24"/>
        <w:lang w:val="en-US"/>
      </w:rPr>
      <w:t>Application for derogation from Article 5b of Council Regulation 833/2014</w:t>
    </w:r>
    <w:r w:rsidRPr="0077296C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and Article 1u of Council Regulation 765/2006</w:t>
    </w:r>
    <w:r w:rsidRPr="00296885">
      <w:rPr>
        <w:rFonts w:ascii="Arial" w:hAnsi="Arial" w:cs="Arial"/>
        <w:b/>
        <w:bCs/>
        <w:sz w:val="24"/>
        <w:szCs w:val="24"/>
        <w:lang w:val="en-US"/>
      </w:rPr>
      <w:t xml:space="preserve">             </w:t>
    </w:r>
  </w:p>
  <w:p w14:paraId="7B7D89BA" w14:textId="77777777" w:rsidR="00DA59D0" w:rsidRPr="00296885" w:rsidRDefault="00DA59D0" w:rsidP="00C66CD8">
    <w:pPr>
      <w:pStyle w:val="Header"/>
      <w:rPr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9FF0" w14:textId="77777777" w:rsidR="00DA59D0" w:rsidRDefault="00DA59D0" w:rsidP="00AC48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A02"/>
    <w:multiLevelType w:val="hybridMultilevel"/>
    <w:tmpl w:val="66509D9A"/>
    <w:lvl w:ilvl="0" w:tplc="D012E3DE">
      <w:start w:val="1"/>
      <w:numFmt w:val="upp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854BC2"/>
    <w:multiLevelType w:val="hybridMultilevel"/>
    <w:tmpl w:val="FA3C8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0712"/>
    <w:multiLevelType w:val="hybridMultilevel"/>
    <w:tmpl w:val="BB4E2C38"/>
    <w:lvl w:ilvl="0" w:tplc="FD9E6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DED"/>
    <w:multiLevelType w:val="hybridMultilevel"/>
    <w:tmpl w:val="9BAC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6285E"/>
    <w:multiLevelType w:val="hybridMultilevel"/>
    <w:tmpl w:val="65866344"/>
    <w:lvl w:ilvl="0" w:tplc="AD648B1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91959"/>
    <w:multiLevelType w:val="hybridMultilevel"/>
    <w:tmpl w:val="DF64B1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01B28"/>
    <w:multiLevelType w:val="hybridMultilevel"/>
    <w:tmpl w:val="5352CDFC"/>
    <w:lvl w:ilvl="0" w:tplc="B7C47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B0C1F"/>
    <w:multiLevelType w:val="hybridMultilevel"/>
    <w:tmpl w:val="E53001A2"/>
    <w:lvl w:ilvl="0" w:tplc="92AEC32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385C"/>
    <w:multiLevelType w:val="hybridMultilevel"/>
    <w:tmpl w:val="E624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C6D7D"/>
    <w:multiLevelType w:val="hybridMultilevel"/>
    <w:tmpl w:val="E634011E"/>
    <w:lvl w:ilvl="0" w:tplc="73B6739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9B73BB6"/>
    <w:multiLevelType w:val="multilevel"/>
    <w:tmpl w:val="6D48E05A"/>
    <w:lvl w:ilvl="0">
      <w:start w:val="2"/>
      <w:numFmt w:val="decimal"/>
      <w:pStyle w:val="Numpar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1" w15:restartNumberingAfterBreak="0">
    <w:nsid w:val="5B550493"/>
    <w:multiLevelType w:val="hybridMultilevel"/>
    <w:tmpl w:val="93C6ACF0"/>
    <w:lvl w:ilvl="0" w:tplc="C6C86F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1F6980"/>
    <w:multiLevelType w:val="hybridMultilevel"/>
    <w:tmpl w:val="124AF3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E3497"/>
    <w:multiLevelType w:val="hybridMultilevel"/>
    <w:tmpl w:val="A93E1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501976">
    <w:abstractNumId w:val="10"/>
  </w:num>
  <w:num w:numId="2" w16cid:durableId="997225386">
    <w:abstractNumId w:val="13"/>
  </w:num>
  <w:num w:numId="3" w16cid:durableId="916205556">
    <w:abstractNumId w:val="1"/>
  </w:num>
  <w:num w:numId="4" w16cid:durableId="849217545">
    <w:abstractNumId w:val="5"/>
  </w:num>
  <w:num w:numId="5" w16cid:durableId="658002244">
    <w:abstractNumId w:val="12"/>
  </w:num>
  <w:num w:numId="6" w16cid:durableId="418913607">
    <w:abstractNumId w:val="6"/>
  </w:num>
  <w:num w:numId="7" w16cid:durableId="1899975735">
    <w:abstractNumId w:val="2"/>
  </w:num>
  <w:num w:numId="8" w16cid:durableId="810291892">
    <w:abstractNumId w:val="3"/>
  </w:num>
  <w:num w:numId="9" w16cid:durableId="550918693">
    <w:abstractNumId w:val="8"/>
  </w:num>
  <w:num w:numId="10" w16cid:durableId="1367096440">
    <w:abstractNumId w:val="11"/>
  </w:num>
  <w:num w:numId="11" w16cid:durableId="1705710755">
    <w:abstractNumId w:val="10"/>
  </w:num>
  <w:num w:numId="12" w16cid:durableId="1071780308">
    <w:abstractNumId w:val="10"/>
  </w:num>
  <w:num w:numId="13" w16cid:durableId="1244607576">
    <w:abstractNumId w:val="10"/>
  </w:num>
  <w:num w:numId="14" w16cid:durableId="452600186">
    <w:abstractNumId w:val="10"/>
  </w:num>
  <w:num w:numId="15" w16cid:durableId="907030725">
    <w:abstractNumId w:val="10"/>
  </w:num>
  <w:num w:numId="16" w16cid:durableId="602348642">
    <w:abstractNumId w:val="10"/>
  </w:num>
  <w:num w:numId="17" w16cid:durableId="127476664">
    <w:abstractNumId w:val="10"/>
  </w:num>
  <w:num w:numId="18" w16cid:durableId="685061830">
    <w:abstractNumId w:val="0"/>
  </w:num>
  <w:num w:numId="19" w16cid:durableId="1225293247">
    <w:abstractNumId w:val="9"/>
  </w:num>
  <w:num w:numId="20" w16cid:durableId="1600063760">
    <w:abstractNumId w:val="7"/>
  </w:num>
  <w:num w:numId="21" w16cid:durableId="570625313">
    <w:abstractNumId w:val="4"/>
  </w:num>
  <w:num w:numId="22" w16cid:durableId="100996821">
    <w:abstractNumId w:val="10"/>
  </w:num>
  <w:num w:numId="23" w16cid:durableId="3242816">
    <w:abstractNumId w:val="10"/>
  </w:num>
  <w:num w:numId="24" w16cid:durableId="774322269">
    <w:abstractNumId w:val="10"/>
  </w:num>
  <w:num w:numId="25" w16cid:durableId="104690817">
    <w:abstractNumId w:val="10"/>
  </w:num>
  <w:num w:numId="26" w16cid:durableId="673066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D8"/>
    <w:rsid w:val="00001765"/>
    <w:rsid w:val="000212CE"/>
    <w:rsid w:val="00026128"/>
    <w:rsid w:val="00037E1B"/>
    <w:rsid w:val="00044593"/>
    <w:rsid w:val="00080D2B"/>
    <w:rsid w:val="00084962"/>
    <w:rsid w:val="00084C3E"/>
    <w:rsid w:val="0008621C"/>
    <w:rsid w:val="000941BC"/>
    <w:rsid w:val="000A284F"/>
    <w:rsid w:val="000A5C56"/>
    <w:rsid w:val="000B3215"/>
    <w:rsid w:val="000D341C"/>
    <w:rsid w:val="00125FB9"/>
    <w:rsid w:val="00135F8F"/>
    <w:rsid w:val="00141658"/>
    <w:rsid w:val="00147C87"/>
    <w:rsid w:val="001507F0"/>
    <w:rsid w:val="00163CD7"/>
    <w:rsid w:val="00180479"/>
    <w:rsid w:val="0018096F"/>
    <w:rsid w:val="00192FDF"/>
    <w:rsid w:val="00194926"/>
    <w:rsid w:val="001A299A"/>
    <w:rsid w:val="001B6E35"/>
    <w:rsid w:val="001F3EE8"/>
    <w:rsid w:val="001F5337"/>
    <w:rsid w:val="002075A2"/>
    <w:rsid w:val="002105FA"/>
    <w:rsid w:val="00233563"/>
    <w:rsid w:val="002376B9"/>
    <w:rsid w:val="0024451A"/>
    <w:rsid w:val="00266240"/>
    <w:rsid w:val="00275092"/>
    <w:rsid w:val="00283898"/>
    <w:rsid w:val="00290B31"/>
    <w:rsid w:val="00296885"/>
    <w:rsid w:val="002F1684"/>
    <w:rsid w:val="00342E2B"/>
    <w:rsid w:val="00343038"/>
    <w:rsid w:val="003523D4"/>
    <w:rsid w:val="00361943"/>
    <w:rsid w:val="00382F7D"/>
    <w:rsid w:val="003B000D"/>
    <w:rsid w:val="003B1690"/>
    <w:rsid w:val="003B45BC"/>
    <w:rsid w:val="003B4FD5"/>
    <w:rsid w:val="003C27CB"/>
    <w:rsid w:val="003C68EB"/>
    <w:rsid w:val="003F6931"/>
    <w:rsid w:val="00444FED"/>
    <w:rsid w:val="00447113"/>
    <w:rsid w:val="00447D36"/>
    <w:rsid w:val="004512EC"/>
    <w:rsid w:val="00464DE5"/>
    <w:rsid w:val="0047376D"/>
    <w:rsid w:val="004818C5"/>
    <w:rsid w:val="004A5273"/>
    <w:rsid w:val="004C0BF6"/>
    <w:rsid w:val="004C5D46"/>
    <w:rsid w:val="004E44DC"/>
    <w:rsid w:val="005021B4"/>
    <w:rsid w:val="005244E0"/>
    <w:rsid w:val="00533423"/>
    <w:rsid w:val="00554317"/>
    <w:rsid w:val="00564F2D"/>
    <w:rsid w:val="005B20B2"/>
    <w:rsid w:val="005B5B91"/>
    <w:rsid w:val="005B7113"/>
    <w:rsid w:val="005C4626"/>
    <w:rsid w:val="005D30EB"/>
    <w:rsid w:val="005E0074"/>
    <w:rsid w:val="00624EA1"/>
    <w:rsid w:val="006252BB"/>
    <w:rsid w:val="00640E47"/>
    <w:rsid w:val="006453E8"/>
    <w:rsid w:val="00663F70"/>
    <w:rsid w:val="00680200"/>
    <w:rsid w:val="006843C8"/>
    <w:rsid w:val="00686F68"/>
    <w:rsid w:val="006939A4"/>
    <w:rsid w:val="006A6367"/>
    <w:rsid w:val="006B31BA"/>
    <w:rsid w:val="006B3397"/>
    <w:rsid w:val="006B6A8B"/>
    <w:rsid w:val="006F7EE9"/>
    <w:rsid w:val="0070155D"/>
    <w:rsid w:val="007034F2"/>
    <w:rsid w:val="007128CE"/>
    <w:rsid w:val="00717BF3"/>
    <w:rsid w:val="00730A8E"/>
    <w:rsid w:val="00730C1D"/>
    <w:rsid w:val="00764205"/>
    <w:rsid w:val="0077296C"/>
    <w:rsid w:val="00776F11"/>
    <w:rsid w:val="00777D4D"/>
    <w:rsid w:val="007A23B3"/>
    <w:rsid w:val="007A32F2"/>
    <w:rsid w:val="007B2170"/>
    <w:rsid w:val="007B62A2"/>
    <w:rsid w:val="007C55B4"/>
    <w:rsid w:val="007D50BF"/>
    <w:rsid w:val="007E5F95"/>
    <w:rsid w:val="007F403D"/>
    <w:rsid w:val="008241E2"/>
    <w:rsid w:val="00840CF9"/>
    <w:rsid w:val="0085482E"/>
    <w:rsid w:val="00855F0D"/>
    <w:rsid w:val="008642C3"/>
    <w:rsid w:val="008650C3"/>
    <w:rsid w:val="008662E3"/>
    <w:rsid w:val="008751C2"/>
    <w:rsid w:val="00884AB7"/>
    <w:rsid w:val="008A321F"/>
    <w:rsid w:val="008C3B44"/>
    <w:rsid w:val="008D357B"/>
    <w:rsid w:val="00912F77"/>
    <w:rsid w:val="00914AD1"/>
    <w:rsid w:val="00926B8F"/>
    <w:rsid w:val="00927F22"/>
    <w:rsid w:val="00937DD6"/>
    <w:rsid w:val="00951AFE"/>
    <w:rsid w:val="00953A17"/>
    <w:rsid w:val="0097510A"/>
    <w:rsid w:val="00997395"/>
    <w:rsid w:val="00997787"/>
    <w:rsid w:val="009A491E"/>
    <w:rsid w:val="009C353E"/>
    <w:rsid w:val="00A11456"/>
    <w:rsid w:val="00A1581E"/>
    <w:rsid w:val="00A2702F"/>
    <w:rsid w:val="00A32DDA"/>
    <w:rsid w:val="00A34EF2"/>
    <w:rsid w:val="00A42195"/>
    <w:rsid w:val="00A45FDB"/>
    <w:rsid w:val="00A4774D"/>
    <w:rsid w:val="00A75831"/>
    <w:rsid w:val="00A848C4"/>
    <w:rsid w:val="00AA4824"/>
    <w:rsid w:val="00AB748D"/>
    <w:rsid w:val="00AC4845"/>
    <w:rsid w:val="00AD3FD6"/>
    <w:rsid w:val="00AF13B7"/>
    <w:rsid w:val="00AF201F"/>
    <w:rsid w:val="00B34D3C"/>
    <w:rsid w:val="00B5075C"/>
    <w:rsid w:val="00B632DB"/>
    <w:rsid w:val="00B7342B"/>
    <w:rsid w:val="00B75E13"/>
    <w:rsid w:val="00B8433A"/>
    <w:rsid w:val="00B846D6"/>
    <w:rsid w:val="00B93840"/>
    <w:rsid w:val="00BC100D"/>
    <w:rsid w:val="00BD0636"/>
    <w:rsid w:val="00BD5FCF"/>
    <w:rsid w:val="00BE7C8D"/>
    <w:rsid w:val="00C04E13"/>
    <w:rsid w:val="00C07B19"/>
    <w:rsid w:val="00C25469"/>
    <w:rsid w:val="00C3180D"/>
    <w:rsid w:val="00C35F3B"/>
    <w:rsid w:val="00C66CD8"/>
    <w:rsid w:val="00C87EF3"/>
    <w:rsid w:val="00C905F0"/>
    <w:rsid w:val="00C9402C"/>
    <w:rsid w:val="00C969D2"/>
    <w:rsid w:val="00C96C2C"/>
    <w:rsid w:val="00CA31D4"/>
    <w:rsid w:val="00CD0171"/>
    <w:rsid w:val="00CD02B9"/>
    <w:rsid w:val="00CE6868"/>
    <w:rsid w:val="00CF7012"/>
    <w:rsid w:val="00D0622D"/>
    <w:rsid w:val="00D14384"/>
    <w:rsid w:val="00D16F94"/>
    <w:rsid w:val="00D4164B"/>
    <w:rsid w:val="00D47A14"/>
    <w:rsid w:val="00DA31BC"/>
    <w:rsid w:val="00DA59D0"/>
    <w:rsid w:val="00DC1BD7"/>
    <w:rsid w:val="00DF72AB"/>
    <w:rsid w:val="00E12067"/>
    <w:rsid w:val="00E45B69"/>
    <w:rsid w:val="00E91E39"/>
    <w:rsid w:val="00E93653"/>
    <w:rsid w:val="00EB4B9E"/>
    <w:rsid w:val="00EB6AF6"/>
    <w:rsid w:val="00EB6D1E"/>
    <w:rsid w:val="00EB6ED6"/>
    <w:rsid w:val="00ED350E"/>
    <w:rsid w:val="00ED4851"/>
    <w:rsid w:val="00ED4B65"/>
    <w:rsid w:val="00EE1786"/>
    <w:rsid w:val="00EF6DC8"/>
    <w:rsid w:val="00F05DBB"/>
    <w:rsid w:val="00F10CB1"/>
    <w:rsid w:val="00F675E4"/>
    <w:rsid w:val="00F952F6"/>
    <w:rsid w:val="00FB37AA"/>
    <w:rsid w:val="00FC1633"/>
    <w:rsid w:val="00FC7012"/>
    <w:rsid w:val="00FD1D34"/>
    <w:rsid w:val="00FD7FEA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DA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B7"/>
    <w:pPr>
      <w:spacing w:after="200" w:line="276" w:lineRule="auto"/>
    </w:pPr>
    <w:rPr>
      <w:rFonts w:eastAsia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66CD8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66CD8"/>
    <w:rPr>
      <w:rFonts w:ascii="Calibri" w:eastAsia="Times New Roman" w:hAnsi="Calibri" w:cs="Times New Roman"/>
      <w:lang w:eastAsia="en-GB"/>
    </w:rPr>
  </w:style>
  <w:style w:type="paragraph" w:customStyle="1" w:styleId="Numpara">
    <w:name w:val="Numpara"/>
    <w:basedOn w:val="Normal"/>
    <w:rsid w:val="00C66CD8"/>
    <w:pPr>
      <w:numPr>
        <w:numId w:val="1"/>
      </w:numPr>
      <w:spacing w:before="40" w:after="120" w:line="240" w:lineRule="auto"/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unhideWhenUsed/>
    <w:rsid w:val="00C66C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12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4962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B75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5E1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E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5E1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FollowedHyperlink">
    <w:name w:val="FollowedHyperlink"/>
    <w:uiPriority w:val="99"/>
    <w:semiHidden/>
    <w:unhideWhenUsed/>
    <w:rsid w:val="000941BC"/>
    <w:rPr>
      <w:color w:val="954F72"/>
      <w:u w:val="single"/>
    </w:rPr>
  </w:style>
  <w:style w:type="paragraph" w:styleId="FootnoteText">
    <w:name w:val="footnote text"/>
    <w:basedOn w:val="Normal"/>
    <w:link w:val="FootnoteTextChar"/>
    <w:unhideWhenUsed/>
    <w:rsid w:val="009751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97510A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unhideWhenUsed/>
    <w:rsid w:val="0097510A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A848C4"/>
    <w:rPr>
      <w:color w:val="605E5C"/>
      <w:shd w:val="clear" w:color="auto" w:fill="E1DFDD"/>
    </w:rPr>
  </w:style>
  <w:style w:type="paragraph" w:customStyle="1" w:styleId="HngEinrckung1">
    <w:name w:val="Häng. Einrückung1"/>
    <w:basedOn w:val="Normal"/>
    <w:uiPriority w:val="1"/>
    <w:qFormat/>
    <w:rsid w:val="00147C87"/>
    <w:pPr>
      <w:spacing w:before="120" w:after="120" w:line="312" w:lineRule="auto"/>
      <w:ind w:left="567" w:hanging="567"/>
      <w:jc w:val="both"/>
    </w:pPr>
    <w:rPr>
      <w:rFonts w:ascii="Verdana" w:hAnsi="Verdana"/>
      <w:sz w:val="20"/>
      <w:szCs w:val="24"/>
      <w:lang w:eastAsia="en-US"/>
    </w:rPr>
  </w:style>
  <w:style w:type="character" w:styleId="Strong">
    <w:name w:val="Strong"/>
    <w:uiPriority w:val="22"/>
    <w:qFormat/>
    <w:rsid w:val="00194926"/>
    <w:rPr>
      <w:b/>
      <w:bCs/>
    </w:rPr>
  </w:style>
  <w:style w:type="paragraph" w:styleId="Revision">
    <w:name w:val="Revision"/>
    <w:hidden/>
    <w:uiPriority w:val="99"/>
    <w:semiHidden/>
    <w:rsid w:val="00DA59D0"/>
    <w:rPr>
      <w:rFonts w:eastAsia="Times New Roman"/>
      <w:sz w:val="22"/>
      <w:szCs w:val="22"/>
      <w:lang w:val="en-GB" w:eastAsia="en-GB"/>
    </w:rPr>
  </w:style>
  <w:style w:type="character" w:customStyle="1" w:styleId="markedcontent">
    <w:name w:val="markedcontent"/>
    <w:basedOn w:val="DefaultParagraphFont"/>
    <w:rsid w:val="00D0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consilium.europa.eu/doc/document/ST-5664-2018-INIT/en/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ok@mof.gov.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A2285-238D-4D6B-B435-458286E0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4159</CharactersWithSpaces>
  <SharedDoc>false</SharedDoc>
  <HLinks>
    <vt:vector size="6" baseType="variant">
      <vt:variant>
        <vt:i4>4653117</vt:i4>
      </vt:variant>
      <vt:variant>
        <vt:i4>0</vt:i4>
      </vt:variant>
      <vt:variant>
        <vt:i4>0</vt:i4>
      </vt:variant>
      <vt:variant>
        <vt:i4>5</vt:i4>
      </vt:variant>
      <vt:variant>
        <vt:lpwstr>mailto:seok@mof.gov.cy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2022-10-03T10:01:00Z</dcterms:created>
  <dcterms:modified xsi:type="dcterms:W3CDTF">2022-10-03T10:01:00Z</dcterms:modified>
</cp:coreProperties>
</file>