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94BE" w14:textId="0E05A7DF" w:rsidR="00587970" w:rsidRPr="005F318B" w:rsidRDefault="00587970" w:rsidP="00587970">
      <w:pPr>
        <w:spacing w:after="0" w:line="240" w:lineRule="auto"/>
        <w:ind w:left="569"/>
        <w:jc w:val="both"/>
        <w:rPr>
          <w:rFonts w:ascii="Arial" w:eastAsia="Arial" w:hAnsi="Arial" w:cs="Arial"/>
          <w:iCs/>
          <w:sz w:val="21"/>
          <w:szCs w:val="21"/>
          <w:u w:val="single"/>
          <w:lang w:val="el-GR"/>
        </w:rPr>
      </w:pPr>
      <w:r w:rsidRPr="005F318B">
        <w:rPr>
          <w:rFonts w:ascii="Arial" w:eastAsia="Arial" w:hAnsi="Arial" w:cs="Arial"/>
          <w:b/>
          <w:bCs/>
          <w:iCs/>
          <w:w w:val="106"/>
          <w:sz w:val="21"/>
          <w:szCs w:val="21"/>
          <w:u w:val="single"/>
          <w:lang w:val="el-GR"/>
        </w:rPr>
        <w:t>Συμβουλευτική</w:t>
      </w:r>
      <w:r w:rsidRPr="005F318B">
        <w:rPr>
          <w:rFonts w:ascii="Arial" w:eastAsia="Arial" w:hAnsi="Arial" w:cs="Arial"/>
          <w:b/>
          <w:bCs/>
          <w:iCs/>
          <w:spacing w:val="-12"/>
          <w:w w:val="106"/>
          <w:sz w:val="21"/>
          <w:szCs w:val="21"/>
          <w:u w:val="single"/>
          <w:lang w:val="el-GR"/>
        </w:rPr>
        <w:t xml:space="preserve"> </w:t>
      </w:r>
      <w:r w:rsidRPr="005F318B">
        <w:rPr>
          <w:rFonts w:ascii="Arial" w:eastAsia="Arial" w:hAnsi="Arial" w:cs="Arial"/>
          <w:b/>
          <w:bCs/>
          <w:iCs/>
          <w:sz w:val="21"/>
          <w:szCs w:val="21"/>
          <w:u w:val="single"/>
          <w:lang w:val="el-GR"/>
        </w:rPr>
        <w:t>Επιτροπή</w:t>
      </w:r>
      <w:r w:rsidRPr="005F318B">
        <w:rPr>
          <w:rFonts w:ascii="Arial" w:eastAsia="Arial" w:hAnsi="Arial" w:cs="Arial"/>
          <w:b/>
          <w:bCs/>
          <w:iCs/>
          <w:spacing w:val="22"/>
          <w:sz w:val="21"/>
          <w:szCs w:val="21"/>
          <w:u w:val="single"/>
          <w:lang w:val="el-GR"/>
        </w:rPr>
        <w:t xml:space="preserve"> </w:t>
      </w:r>
      <w:r w:rsidRPr="005F318B">
        <w:rPr>
          <w:rFonts w:ascii="Arial" w:eastAsia="Arial" w:hAnsi="Arial" w:cs="Arial"/>
          <w:b/>
          <w:bCs/>
          <w:iCs/>
          <w:sz w:val="21"/>
          <w:szCs w:val="21"/>
          <w:u w:val="single"/>
          <w:lang w:val="el-GR"/>
        </w:rPr>
        <w:t xml:space="preserve">Οικονομικών Κυρώσεων  </w:t>
      </w:r>
      <w:r w:rsidRPr="005F318B">
        <w:rPr>
          <w:rFonts w:ascii="Arial" w:eastAsia="Arial" w:hAnsi="Arial" w:cs="Arial"/>
          <w:b/>
          <w:bCs/>
          <w:iCs/>
          <w:w w:val="105"/>
          <w:sz w:val="21"/>
          <w:szCs w:val="21"/>
          <w:u w:val="single"/>
          <w:lang w:val="el-GR"/>
        </w:rPr>
        <w:t>(</w:t>
      </w:r>
      <w:r w:rsidRPr="005F318B">
        <w:rPr>
          <w:rFonts w:ascii="Arial" w:eastAsia="Arial" w:hAnsi="Arial" w:cs="Arial"/>
          <w:b/>
          <w:bCs/>
          <w:iCs/>
          <w:w w:val="104"/>
          <w:sz w:val="21"/>
          <w:szCs w:val="21"/>
          <w:u w:val="single"/>
          <w:lang w:val="el-GR"/>
        </w:rPr>
        <w:t>ΣΕΟΚ</w:t>
      </w:r>
      <w:r w:rsidRPr="005F318B">
        <w:rPr>
          <w:rFonts w:ascii="Arial" w:eastAsia="Arial" w:hAnsi="Arial" w:cs="Arial"/>
          <w:b/>
          <w:bCs/>
          <w:iCs/>
          <w:w w:val="105"/>
          <w:sz w:val="21"/>
          <w:szCs w:val="21"/>
          <w:u w:val="single"/>
          <w:lang w:val="el-GR"/>
        </w:rPr>
        <w:t>)</w:t>
      </w:r>
    </w:p>
    <w:p w14:paraId="03920363" w14:textId="77777777" w:rsidR="00587970" w:rsidRPr="00587970" w:rsidRDefault="00587970" w:rsidP="00587970">
      <w:pPr>
        <w:spacing w:before="10" w:after="0" w:line="220" w:lineRule="exact"/>
        <w:rPr>
          <w:lang w:val="el-GR"/>
        </w:rPr>
      </w:pPr>
    </w:p>
    <w:p w14:paraId="51B9DC14" w14:textId="77777777" w:rsidR="00587970" w:rsidRDefault="00587970" w:rsidP="00587970">
      <w:pPr>
        <w:spacing w:after="0" w:line="291" w:lineRule="auto"/>
        <w:ind w:left="557" w:right="63" w:firstLine="6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</w:p>
    <w:p w14:paraId="1B934BF1" w14:textId="07616375" w:rsidR="00D80281" w:rsidRDefault="008E764A" w:rsidP="00D8028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</w:t>
      </w:r>
      <w:r w:rsidR="00883449">
        <w:rPr>
          <w:rFonts w:ascii="Arial" w:hAnsi="Arial" w:cs="Arial"/>
          <w:lang w:val="el-GR"/>
        </w:rPr>
        <w:t>Συμβουλευτική Επιτροπή</w:t>
      </w:r>
      <w:r w:rsidRPr="008E764A">
        <w:rPr>
          <w:rFonts w:ascii="Arial" w:hAnsi="Arial" w:cs="Arial"/>
          <w:lang w:val="el-GR"/>
        </w:rPr>
        <w:t xml:space="preserve"> Οικονομικών Κυρώσεων (ΣΕΟΚ)</w:t>
      </w:r>
      <w:r>
        <w:rPr>
          <w:rFonts w:ascii="Arial" w:hAnsi="Arial" w:cs="Arial"/>
          <w:lang w:val="el-GR"/>
        </w:rPr>
        <w:t xml:space="preserve"> συστάθηκε με την απόφαση του Υπουργικού Συμβουλίου </w:t>
      </w:r>
      <w:proofErr w:type="spellStart"/>
      <w:r>
        <w:rPr>
          <w:rFonts w:ascii="Arial" w:hAnsi="Arial" w:cs="Arial"/>
          <w:lang w:val="el-GR"/>
        </w:rPr>
        <w:t>αρ</w:t>
      </w:r>
      <w:proofErr w:type="spellEnd"/>
      <w:r>
        <w:rPr>
          <w:rFonts w:ascii="Arial" w:hAnsi="Arial" w:cs="Arial"/>
          <w:lang w:val="el-GR"/>
        </w:rPr>
        <w:t xml:space="preserve">. </w:t>
      </w:r>
      <w:proofErr w:type="spellStart"/>
      <w:r>
        <w:rPr>
          <w:rFonts w:ascii="Arial" w:hAnsi="Arial" w:cs="Arial"/>
          <w:lang w:val="el-GR"/>
        </w:rPr>
        <w:t>αποφ</w:t>
      </w:r>
      <w:proofErr w:type="spellEnd"/>
      <w:r>
        <w:rPr>
          <w:rFonts w:ascii="Arial" w:hAnsi="Arial" w:cs="Arial"/>
          <w:lang w:val="el-GR"/>
        </w:rPr>
        <w:t xml:space="preserve">. 73.606 </w:t>
      </w:r>
      <w:proofErr w:type="spellStart"/>
      <w:r>
        <w:rPr>
          <w:rFonts w:ascii="Arial" w:hAnsi="Arial" w:cs="Arial"/>
          <w:lang w:val="el-GR"/>
        </w:rPr>
        <w:t>ημερ</w:t>
      </w:r>
      <w:proofErr w:type="spellEnd"/>
      <w:r>
        <w:rPr>
          <w:rFonts w:ascii="Arial" w:hAnsi="Arial" w:cs="Arial"/>
          <w:lang w:val="el-GR"/>
        </w:rPr>
        <w:t xml:space="preserve">. 25/05/2012 η οποία τροποποιήθηκε από την Απόφαση του Υπουργικού Συμβουλίου </w:t>
      </w:r>
      <w:proofErr w:type="spellStart"/>
      <w:r>
        <w:rPr>
          <w:rFonts w:ascii="Arial" w:hAnsi="Arial" w:cs="Arial"/>
          <w:lang w:val="el-GR"/>
        </w:rPr>
        <w:t>ημερ</w:t>
      </w:r>
      <w:proofErr w:type="spellEnd"/>
      <w:r>
        <w:rPr>
          <w:rFonts w:ascii="Arial" w:hAnsi="Arial" w:cs="Arial"/>
          <w:lang w:val="el-GR"/>
        </w:rPr>
        <w:t>.</w:t>
      </w:r>
      <w:r w:rsidRPr="00955301">
        <w:rPr>
          <w:lang w:val="el-GR"/>
        </w:rPr>
        <w:t xml:space="preserve"> </w:t>
      </w:r>
      <w:r>
        <w:rPr>
          <w:rFonts w:ascii="Arial" w:hAnsi="Arial" w:cs="Arial"/>
          <w:lang w:val="el-GR"/>
        </w:rPr>
        <w:t>13/04/</w:t>
      </w:r>
      <w:r w:rsidRPr="008E764A">
        <w:rPr>
          <w:rFonts w:ascii="Arial" w:hAnsi="Arial" w:cs="Arial"/>
          <w:lang w:val="el-GR"/>
        </w:rPr>
        <w:t>2022</w:t>
      </w:r>
      <w:r>
        <w:rPr>
          <w:rFonts w:ascii="Arial" w:hAnsi="Arial" w:cs="Arial"/>
          <w:lang w:val="el-GR"/>
        </w:rPr>
        <w:t xml:space="preserve">. </w:t>
      </w:r>
      <w:r w:rsidR="004361F3">
        <w:rPr>
          <w:rFonts w:ascii="Arial" w:hAnsi="Arial" w:cs="Arial"/>
          <w:lang w:val="el-GR"/>
        </w:rPr>
        <w:t xml:space="preserve">Πρόεδρος της ΣΕΟΚ είναι ο Υπουργός </w:t>
      </w:r>
      <w:r w:rsidR="0032261A" w:rsidRPr="0032261A">
        <w:rPr>
          <w:rFonts w:ascii="Arial" w:hAnsi="Arial" w:cs="Arial"/>
          <w:lang w:val="el-GR"/>
        </w:rPr>
        <w:t xml:space="preserve">Οικονομικών </w:t>
      </w:r>
      <w:r w:rsidR="00D80281">
        <w:rPr>
          <w:rFonts w:ascii="Arial" w:hAnsi="Arial" w:cs="Arial"/>
          <w:lang w:val="el-GR"/>
        </w:rPr>
        <w:t xml:space="preserve">και </w:t>
      </w:r>
      <w:r w:rsidR="00D80281" w:rsidRPr="00587970">
        <w:rPr>
          <w:rFonts w:ascii="Arial" w:hAnsi="Arial" w:cs="Arial"/>
          <w:lang w:val="el-GR"/>
        </w:rPr>
        <w:t>συμμετέχουν</w:t>
      </w:r>
      <w:r w:rsidR="004361F3">
        <w:rPr>
          <w:rFonts w:ascii="Arial" w:hAnsi="Arial" w:cs="Arial"/>
          <w:lang w:val="el-GR"/>
        </w:rPr>
        <w:t xml:space="preserve"> σε αυτή, </w:t>
      </w:r>
      <w:r w:rsidR="00D80281" w:rsidRPr="00587970">
        <w:rPr>
          <w:rFonts w:ascii="Arial" w:hAnsi="Arial" w:cs="Arial"/>
          <w:lang w:val="el-GR"/>
        </w:rPr>
        <w:t>εκπρόσωποι</w:t>
      </w:r>
      <w:r w:rsidR="00D80281" w:rsidRPr="00587970">
        <w:rPr>
          <w:rFonts w:ascii="Arial" w:hAnsi="Arial" w:cs="Arial"/>
          <w:spacing w:val="55"/>
          <w:lang w:val="el-GR"/>
        </w:rPr>
        <w:t xml:space="preserve"> </w:t>
      </w:r>
      <w:r w:rsidR="00357C43">
        <w:rPr>
          <w:rFonts w:ascii="Arial" w:hAnsi="Arial" w:cs="Arial"/>
          <w:lang w:val="el-GR"/>
        </w:rPr>
        <w:t>των</w:t>
      </w:r>
      <w:r w:rsidR="004361F3">
        <w:rPr>
          <w:rFonts w:ascii="Arial" w:hAnsi="Arial" w:cs="Arial"/>
          <w:lang w:val="el-GR"/>
        </w:rPr>
        <w:t xml:space="preserve"> ακόλουθων </w:t>
      </w:r>
      <w:r w:rsidR="009509DF">
        <w:rPr>
          <w:rFonts w:ascii="Arial" w:hAnsi="Arial" w:cs="Arial"/>
          <w:lang w:val="el-GR"/>
        </w:rPr>
        <w:t>Υπηρεσιών και Υπουργείων</w:t>
      </w:r>
      <w:r w:rsidR="00D80281">
        <w:rPr>
          <w:rFonts w:ascii="Arial" w:hAnsi="Arial" w:cs="Arial"/>
          <w:lang w:val="el-GR"/>
        </w:rPr>
        <w:t>:</w:t>
      </w:r>
    </w:p>
    <w:p w14:paraId="7CD51604" w14:textId="0D0154AF" w:rsidR="00D80281" w:rsidRPr="00587970" w:rsidRDefault="00D80281" w:rsidP="00D802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11"/>
          <w:lang w:val="el-GR"/>
        </w:rPr>
      </w:pPr>
      <w:r>
        <w:rPr>
          <w:rFonts w:ascii="Arial" w:hAnsi="Arial" w:cs="Arial"/>
          <w:lang w:val="el-GR"/>
        </w:rPr>
        <w:t>Νομικής Υπηρεσίας,</w:t>
      </w:r>
    </w:p>
    <w:p w14:paraId="15BAA3DF" w14:textId="77777777" w:rsidR="00D80281" w:rsidRPr="00587970" w:rsidRDefault="00D80281" w:rsidP="00D802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w w:val="103"/>
          <w:lang w:val="el-GR"/>
        </w:rPr>
      </w:pPr>
      <w:r w:rsidRPr="00587970">
        <w:rPr>
          <w:rFonts w:ascii="Arial" w:hAnsi="Arial" w:cs="Arial"/>
          <w:lang w:val="el-GR"/>
        </w:rPr>
        <w:t>Υπουργείου</w:t>
      </w:r>
      <w:r w:rsidRPr="00587970">
        <w:rPr>
          <w:rFonts w:ascii="Arial" w:hAnsi="Arial" w:cs="Arial"/>
          <w:spacing w:val="40"/>
          <w:lang w:val="el-GR"/>
        </w:rPr>
        <w:t xml:space="preserve"> </w:t>
      </w:r>
      <w:r w:rsidRPr="00587970">
        <w:rPr>
          <w:rFonts w:ascii="Arial" w:hAnsi="Arial" w:cs="Arial"/>
          <w:w w:val="103"/>
          <w:lang w:val="el-GR"/>
        </w:rPr>
        <w:t xml:space="preserve">Εξωτερικών, </w:t>
      </w:r>
    </w:p>
    <w:p w14:paraId="342D64C6" w14:textId="77777777" w:rsidR="00D80281" w:rsidRPr="00587970" w:rsidRDefault="00D80281" w:rsidP="00D802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47"/>
          <w:lang w:val="el-GR"/>
        </w:rPr>
      </w:pPr>
      <w:r>
        <w:rPr>
          <w:rFonts w:ascii="Arial" w:hAnsi="Arial" w:cs="Arial"/>
          <w:lang w:val="el-GR"/>
        </w:rPr>
        <w:t xml:space="preserve">Υπουργείου </w:t>
      </w:r>
      <w:r w:rsidRPr="00587970">
        <w:rPr>
          <w:rFonts w:ascii="Arial" w:hAnsi="Arial" w:cs="Arial"/>
          <w:lang w:val="el-GR"/>
        </w:rPr>
        <w:t>Δικαιοσύνης και Δημόσιας Τάξης,</w:t>
      </w:r>
      <w:r w:rsidRPr="00587970">
        <w:rPr>
          <w:rFonts w:ascii="Arial" w:hAnsi="Arial" w:cs="Arial"/>
          <w:spacing w:val="47"/>
          <w:lang w:val="el-GR"/>
        </w:rPr>
        <w:t xml:space="preserve"> </w:t>
      </w:r>
    </w:p>
    <w:p w14:paraId="4C7FD3B3" w14:textId="77777777" w:rsidR="00D80281" w:rsidRPr="00587970" w:rsidRDefault="00D80281" w:rsidP="00D802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587970">
        <w:rPr>
          <w:rFonts w:ascii="Arial" w:hAnsi="Arial" w:cs="Arial"/>
          <w:lang w:val="el-GR"/>
        </w:rPr>
        <w:t xml:space="preserve">Υπουργείου Ενέργειας, </w:t>
      </w:r>
      <w:r w:rsidRPr="00587970">
        <w:rPr>
          <w:rFonts w:ascii="Arial" w:hAnsi="Arial" w:cs="Arial"/>
          <w:w w:val="104"/>
          <w:lang w:val="el-GR"/>
        </w:rPr>
        <w:t xml:space="preserve">Εμπορίου </w:t>
      </w:r>
      <w:r w:rsidRPr="00587970">
        <w:rPr>
          <w:rFonts w:ascii="Arial" w:hAnsi="Arial" w:cs="Arial"/>
          <w:lang w:val="el-GR"/>
        </w:rPr>
        <w:t>και</w:t>
      </w:r>
      <w:r w:rsidRPr="00587970">
        <w:rPr>
          <w:rFonts w:ascii="Arial" w:hAnsi="Arial" w:cs="Arial"/>
          <w:spacing w:val="23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Βιομηχανίας,</w:t>
      </w:r>
      <w:r w:rsidRPr="00587970">
        <w:rPr>
          <w:rFonts w:ascii="Arial" w:hAnsi="Arial" w:cs="Arial"/>
          <w:spacing w:val="49"/>
          <w:lang w:val="el-GR"/>
        </w:rPr>
        <w:t xml:space="preserve"> </w:t>
      </w:r>
    </w:p>
    <w:p w14:paraId="5EE956B6" w14:textId="77777777" w:rsidR="00D80281" w:rsidRPr="00587970" w:rsidRDefault="00D80281" w:rsidP="00D802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57"/>
          <w:lang w:val="el-GR"/>
        </w:rPr>
      </w:pPr>
      <w:r w:rsidRPr="00587970">
        <w:rPr>
          <w:rFonts w:ascii="Arial" w:hAnsi="Arial" w:cs="Arial"/>
          <w:lang w:val="el-GR"/>
        </w:rPr>
        <w:t>Τμήματος Εφόρου</w:t>
      </w:r>
      <w:r w:rsidRPr="00587970">
        <w:rPr>
          <w:rFonts w:ascii="Arial" w:hAnsi="Arial" w:cs="Arial"/>
          <w:spacing w:val="54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Εταιρειών και</w:t>
      </w:r>
      <w:r w:rsidRPr="00587970">
        <w:rPr>
          <w:rFonts w:ascii="Arial" w:hAnsi="Arial" w:cs="Arial"/>
          <w:spacing w:val="23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Επίσημου</w:t>
      </w:r>
      <w:r w:rsidRPr="00587970">
        <w:rPr>
          <w:rFonts w:ascii="Arial" w:hAnsi="Arial" w:cs="Arial"/>
          <w:spacing w:val="55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Παραλήπτη,</w:t>
      </w:r>
      <w:r w:rsidRPr="00587970">
        <w:rPr>
          <w:rFonts w:ascii="Arial" w:hAnsi="Arial" w:cs="Arial"/>
          <w:spacing w:val="57"/>
          <w:lang w:val="el-GR"/>
        </w:rPr>
        <w:t xml:space="preserve"> </w:t>
      </w:r>
    </w:p>
    <w:p w14:paraId="38B07868" w14:textId="77777777" w:rsidR="00D80281" w:rsidRPr="00587970" w:rsidRDefault="00D80281" w:rsidP="00D802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587970">
        <w:rPr>
          <w:rFonts w:ascii="Arial" w:hAnsi="Arial" w:cs="Arial"/>
          <w:lang w:val="el-GR"/>
        </w:rPr>
        <w:t xml:space="preserve">Κεντρικής Τράπεζας της Κύπρου (ΚΤΚ), </w:t>
      </w:r>
    </w:p>
    <w:p w14:paraId="65080406" w14:textId="77777777" w:rsidR="00D80281" w:rsidRPr="00587970" w:rsidRDefault="00D80281" w:rsidP="00D802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w w:val="102"/>
          <w:lang w:val="el-GR"/>
        </w:rPr>
      </w:pPr>
      <w:r>
        <w:rPr>
          <w:rFonts w:ascii="Arial" w:hAnsi="Arial" w:cs="Arial"/>
          <w:lang w:val="el-GR"/>
        </w:rPr>
        <w:t>Επιτροπής</w:t>
      </w:r>
      <w:r w:rsidRPr="00587970">
        <w:rPr>
          <w:rFonts w:ascii="Arial" w:hAnsi="Arial" w:cs="Arial"/>
          <w:spacing w:val="54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Κεφαλαιαγοράς Κύπρου </w:t>
      </w:r>
    </w:p>
    <w:p w14:paraId="7F8F36A3" w14:textId="77777777" w:rsidR="00D80281" w:rsidRPr="00587970" w:rsidRDefault="00D80281" w:rsidP="00D802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587970">
        <w:rPr>
          <w:rFonts w:ascii="Arial" w:hAnsi="Arial" w:cs="Arial"/>
          <w:lang w:val="el-GR"/>
        </w:rPr>
        <w:t>Μονάδας</w:t>
      </w:r>
      <w:r w:rsidRPr="00587970">
        <w:rPr>
          <w:rFonts w:ascii="Arial" w:hAnsi="Arial" w:cs="Arial"/>
          <w:spacing w:val="50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Καταπολέμησης Αδικημάτων</w:t>
      </w:r>
      <w:r w:rsidRPr="00587970">
        <w:rPr>
          <w:rFonts w:ascii="Arial" w:hAnsi="Arial" w:cs="Arial"/>
          <w:spacing w:val="48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Συγκάλυψης </w:t>
      </w:r>
      <w:r w:rsidRPr="00587970">
        <w:rPr>
          <w:rFonts w:ascii="Arial" w:hAnsi="Arial" w:cs="Arial"/>
          <w:w w:val="106"/>
          <w:lang w:val="el-GR"/>
        </w:rPr>
        <w:t>(</w:t>
      </w:r>
      <w:r w:rsidRPr="00587970">
        <w:rPr>
          <w:rFonts w:ascii="Arial" w:hAnsi="Arial" w:cs="Arial"/>
          <w:w w:val="105"/>
          <w:lang w:val="el-GR"/>
        </w:rPr>
        <w:t>ΜΟΚΑΣ</w:t>
      </w:r>
      <w:r w:rsidRPr="00587970">
        <w:rPr>
          <w:rFonts w:ascii="Arial" w:hAnsi="Arial" w:cs="Arial"/>
          <w:w w:val="106"/>
          <w:lang w:val="el-GR"/>
        </w:rPr>
        <w:t>)</w:t>
      </w:r>
    </w:p>
    <w:p w14:paraId="60D235C6" w14:textId="3764E333" w:rsidR="00D80281" w:rsidRPr="00955301" w:rsidRDefault="00A206B5" w:rsidP="0058797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</w:t>
      </w:r>
      <w:r w:rsidRPr="00A206B5">
        <w:rPr>
          <w:rFonts w:ascii="Arial" w:hAnsi="Arial" w:cs="Arial"/>
          <w:lang w:val="el-GR"/>
        </w:rPr>
        <w:t>ρμοδιότητες της Συμβουλευτικής Επιτροπής Οικονομικών Κυρώσεων (ΣΕΟΚ)</w:t>
      </w:r>
      <w:r>
        <w:rPr>
          <w:rFonts w:ascii="Arial" w:hAnsi="Arial" w:cs="Arial"/>
          <w:lang w:val="el-GR"/>
        </w:rPr>
        <w:t xml:space="preserve"> είναι οι ακόλουθες</w:t>
      </w:r>
      <w:r w:rsidRPr="00955301">
        <w:rPr>
          <w:rFonts w:ascii="Arial" w:hAnsi="Arial" w:cs="Arial"/>
          <w:lang w:val="el-GR"/>
        </w:rPr>
        <w:t>:</w:t>
      </w:r>
    </w:p>
    <w:p w14:paraId="31DFD2F4" w14:textId="416DEB8D" w:rsidR="0032261A" w:rsidRDefault="00A206B5" w:rsidP="00357C43">
      <w:pPr>
        <w:jc w:val="both"/>
        <w:rPr>
          <w:rFonts w:ascii="Arial" w:hAnsi="Arial" w:cs="Arial"/>
          <w:lang w:val="el-GR"/>
        </w:rPr>
      </w:pPr>
      <w:r w:rsidRPr="00955301">
        <w:rPr>
          <w:rFonts w:ascii="Arial" w:hAnsi="Arial" w:cs="Arial"/>
          <w:lang w:val="el-GR"/>
        </w:rPr>
        <w:t xml:space="preserve">1. </w:t>
      </w:r>
      <w:r>
        <w:rPr>
          <w:rFonts w:ascii="Arial" w:hAnsi="Arial" w:cs="Arial"/>
        </w:rPr>
        <w:t>E</w:t>
      </w:r>
      <w:proofErr w:type="spellStart"/>
      <w:r w:rsidR="000F3ACB">
        <w:rPr>
          <w:rFonts w:ascii="Arial" w:hAnsi="Arial" w:cs="Arial"/>
          <w:lang w:val="el-GR"/>
        </w:rPr>
        <w:t>ξέταση</w:t>
      </w:r>
      <w:proofErr w:type="spellEnd"/>
      <w:r w:rsidR="0032261A" w:rsidRPr="0032261A">
        <w:rPr>
          <w:rFonts w:ascii="Arial" w:hAnsi="Arial" w:cs="Arial"/>
          <w:lang w:val="el-GR"/>
        </w:rPr>
        <w:t xml:space="preserve"> αιτ</w:t>
      </w:r>
      <w:r w:rsidR="000F3ACB">
        <w:rPr>
          <w:rFonts w:ascii="Arial" w:hAnsi="Arial" w:cs="Arial"/>
          <w:lang w:val="el-GR"/>
        </w:rPr>
        <w:t>ημάτων</w:t>
      </w:r>
      <w:r w:rsidR="0032261A">
        <w:rPr>
          <w:rFonts w:ascii="Arial" w:hAnsi="Arial" w:cs="Arial"/>
          <w:lang w:val="el-GR"/>
        </w:rPr>
        <w:t>,</w:t>
      </w:r>
      <w:r w:rsidR="0032261A" w:rsidRPr="0032261A">
        <w:rPr>
          <w:rFonts w:ascii="Arial" w:hAnsi="Arial" w:cs="Arial"/>
          <w:lang w:val="el-GR"/>
        </w:rPr>
        <w:t xml:space="preserve"> </w:t>
      </w:r>
      <w:r w:rsidR="0032261A" w:rsidRPr="00587970">
        <w:rPr>
          <w:rFonts w:ascii="Arial" w:hAnsi="Arial" w:cs="Arial"/>
          <w:lang w:val="el-GR"/>
        </w:rPr>
        <w:t>από χρηματοπιστωτικά</w:t>
      </w:r>
      <w:r w:rsidR="0032261A" w:rsidRPr="00587970">
        <w:rPr>
          <w:rFonts w:ascii="Arial" w:hAnsi="Arial" w:cs="Arial"/>
          <w:spacing w:val="58"/>
          <w:lang w:val="el-GR"/>
        </w:rPr>
        <w:t xml:space="preserve"> </w:t>
      </w:r>
      <w:r w:rsidR="0032261A" w:rsidRPr="00587970">
        <w:rPr>
          <w:rFonts w:ascii="Arial" w:hAnsi="Arial" w:cs="Arial"/>
          <w:lang w:val="el-GR"/>
        </w:rPr>
        <w:t>ιδρύματα</w:t>
      </w:r>
      <w:r w:rsidR="0032261A">
        <w:rPr>
          <w:rFonts w:ascii="Arial" w:hAnsi="Arial" w:cs="Arial"/>
          <w:lang w:val="el-GR"/>
        </w:rPr>
        <w:t>,</w:t>
      </w:r>
      <w:r w:rsidR="0032261A" w:rsidRPr="00587970">
        <w:rPr>
          <w:rFonts w:ascii="Arial" w:hAnsi="Arial" w:cs="Arial"/>
          <w:spacing w:val="38"/>
          <w:lang w:val="el-GR"/>
        </w:rPr>
        <w:t xml:space="preserve"> </w:t>
      </w:r>
      <w:r w:rsidR="0032261A" w:rsidRPr="0032261A">
        <w:rPr>
          <w:rFonts w:ascii="Arial" w:hAnsi="Arial" w:cs="Arial"/>
          <w:lang w:val="el-GR"/>
        </w:rPr>
        <w:t>αποδέσμευσης κεφαλαίων και χρηματοοικονομικών πόρων, τα οποία εμπίπτουν στις εξαιρέσεις/παρεκκλίσεις που προνοούνται από τις Αποφάσεις και Κανονισμούς του Συμβουλίου της Ε.Ε. (περιοριστικά μέτρα) και τις Αποφάσεις/Ψηφίσματα του ΣΑ/ΟΗΕ (κυρώσεις)</w:t>
      </w:r>
      <w:r w:rsidR="00D05E01">
        <w:rPr>
          <w:rFonts w:ascii="Arial" w:hAnsi="Arial" w:cs="Arial"/>
          <w:lang w:val="el-GR"/>
        </w:rPr>
        <w:t xml:space="preserve"> – Αίτηση </w:t>
      </w:r>
      <w:r w:rsidR="00D05E01">
        <w:rPr>
          <w:rFonts w:ascii="Arial" w:hAnsi="Arial" w:cs="Arial"/>
        </w:rPr>
        <w:t>SEOK</w:t>
      </w:r>
      <w:r w:rsidR="00D05E01" w:rsidRPr="00955301">
        <w:rPr>
          <w:rFonts w:ascii="Arial" w:hAnsi="Arial" w:cs="Arial"/>
          <w:lang w:val="el-GR"/>
        </w:rPr>
        <w:t xml:space="preserve"> 1.</w:t>
      </w:r>
      <w:r w:rsidR="0032261A" w:rsidRPr="0032261A">
        <w:rPr>
          <w:rFonts w:ascii="Arial" w:hAnsi="Arial" w:cs="Arial"/>
          <w:lang w:val="el-GR"/>
        </w:rPr>
        <w:t xml:space="preserve"> </w:t>
      </w:r>
    </w:p>
    <w:p w14:paraId="63F54465" w14:textId="70542A8A" w:rsidR="00D05E01" w:rsidRPr="00357C43" w:rsidRDefault="00A206B5" w:rsidP="000F3ACB">
      <w:pPr>
        <w:jc w:val="both"/>
        <w:rPr>
          <w:rFonts w:ascii="Arial" w:hAnsi="Arial" w:cs="Arial"/>
          <w:lang w:val="el-GR"/>
        </w:rPr>
      </w:pPr>
      <w:r w:rsidRPr="00955301">
        <w:rPr>
          <w:rFonts w:ascii="Arial" w:hAnsi="Arial" w:cs="Arial"/>
          <w:lang w:val="el-GR"/>
        </w:rPr>
        <w:t xml:space="preserve">2. </w:t>
      </w:r>
      <w:r w:rsidR="00D05E01">
        <w:rPr>
          <w:rFonts w:ascii="Arial" w:hAnsi="Arial" w:cs="Arial"/>
          <w:lang w:val="el-GR"/>
        </w:rPr>
        <w:t>Ε</w:t>
      </w:r>
      <w:r w:rsidR="00D05E01" w:rsidRPr="000F3ACB">
        <w:rPr>
          <w:rFonts w:ascii="Arial" w:hAnsi="Arial" w:cs="Arial"/>
          <w:lang w:val="el-GR"/>
        </w:rPr>
        <w:t xml:space="preserve">ξέταση αιτημάτων κατά παρέκκλιση των περιοριστικών μέτρων της Ευρωπαϊκής Ένωσης σχετικά με την αποδοχή καταθέσεων και την παροχή υπηρεσίας </w:t>
      </w:r>
      <w:proofErr w:type="spellStart"/>
      <w:r w:rsidR="00D05E01" w:rsidRPr="000F3ACB">
        <w:rPr>
          <w:rFonts w:ascii="Arial" w:hAnsi="Arial" w:cs="Arial"/>
          <w:lang w:val="el-GR"/>
        </w:rPr>
        <w:t>πορτοφολίου</w:t>
      </w:r>
      <w:proofErr w:type="spellEnd"/>
      <w:r w:rsidR="00D05E01" w:rsidRPr="000F3ACB">
        <w:rPr>
          <w:rFonts w:ascii="Arial" w:hAnsi="Arial" w:cs="Arial"/>
          <w:lang w:val="el-GR"/>
        </w:rPr>
        <w:t xml:space="preserve"> (</w:t>
      </w:r>
      <w:proofErr w:type="spellStart"/>
      <w:r w:rsidR="00D05E01" w:rsidRPr="000F3ACB">
        <w:rPr>
          <w:rFonts w:ascii="Arial" w:hAnsi="Arial" w:cs="Arial"/>
          <w:lang w:val="el-GR"/>
        </w:rPr>
        <w:t>crypto-asset</w:t>
      </w:r>
      <w:proofErr w:type="spellEnd"/>
      <w:r w:rsidR="00D05E01" w:rsidRPr="000F3ACB">
        <w:rPr>
          <w:rFonts w:ascii="Arial" w:hAnsi="Arial" w:cs="Arial"/>
          <w:lang w:val="el-GR"/>
        </w:rPr>
        <w:t xml:space="preserve"> </w:t>
      </w:r>
      <w:proofErr w:type="spellStart"/>
      <w:r w:rsidR="00D05E01" w:rsidRPr="000F3ACB">
        <w:rPr>
          <w:rFonts w:ascii="Arial" w:hAnsi="Arial" w:cs="Arial"/>
          <w:lang w:val="el-GR"/>
        </w:rPr>
        <w:t>wallet</w:t>
      </w:r>
      <w:proofErr w:type="spellEnd"/>
      <w:r w:rsidR="00D05E01" w:rsidRPr="000F3ACB">
        <w:rPr>
          <w:rFonts w:ascii="Arial" w:hAnsi="Arial" w:cs="Arial"/>
          <w:lang w:val="el-GR"/>
        </w:rPr>
        <w:t xml:space="preserve">), λογαριασμού ή φύλαξης </w:t>
      </w:r>
      <w:proofErr w:type="spellStart"/>
      <w:r w:rsidR="00D05E01" w:rsidRPr="000F3ACB">
        <w:rPr>
          <w:rFonts w:ascii="Arial" w:hAnsi="Arial" w:cs="Arial"/>
          <w:lang w:val="el-GR"/>
        </w:rPr>
        <w:t>κρυπτονομισμάτων</w:t>
      </w:r>
      <w:proofErr w:type="spellEnd"/>
      <w:r w:rsidR="00D05E01" w:rsidRPr="00955301">
        <w:rPr>
          <w:rFonts w:ascii="Arial" w:hAnsi="Arial" w:cs="Arial"/>
          <w:lang w:val="el-GR"/>
        </w:rPr>
        <w:t xml:space="preserve"> </w:t>
      </w:r>
      <w:r w:rsidR="00D05E01">
        <w:rPr>
          <w:rFonts w:ascii="Arial" w:hAnsi="Arial" w:cs="Arial"/>
          <w:lang w:val="el-GR"/>
        </w:rPr>
        <w:t xml:space="preserve">–Αίτηση </w:t>
      </w:r>
      <w:r w:rsidR="00D05E01">
        <w:rPr>
          <w:rFonts w:ascii="Arial" w:hAnsi="Arial" w:cs="Arial"/>
        </w:rPr>
        <w:t>SEOK</w:t>
      </w:r>
      <w:r w:rsidR="00D05E01" w:rsidRPr="00955301">
        <w:rPr>
          <w:rFonts w:ascii="Arial" w:hAnsi="Arial" w:cs="Arial"/>
          <w:lang w:val="el-GR"/>
        </w:rPr>
        <w:t xml:space="preserve"> 2,</w:t>
      </w:r>
    </w:p>
    <w:p w14:paraId="59230A0F" w14:textId="038895D0" w:rsidR="000F3ACB" w:rsidRPr="000F3ACB" w:rsidRDefault="00D05E01" w:rsidP="000F3ACB">
      <w:pPr>
        <w:jc w:val="both"/>
        <w:rPr>
          <w:rFonts w:ascii="Arial" w:hAnsi="Arial" w:cs="Arial"/>
          <w:lang w:val="el-GR"/>
        </w:rPr>
      </w:pPr>
      <w:r w:rsidRPr="00955301">
        <w:rPr>
          <w:rFonts w:ascii="Arial" w:hAnsi="Arial" w:cs="Arial"/>
          <w:lang w:val="el-GR"/>
        </w:rPr>
        <w:t xml:space="preserve">3. </w:t>
      </w:r>
      <w:r w:rsidR="000F3ACB">
        <w:rPr>
          <w:rFonts w:ascii="Arial" w:hAnsi="Arial" w:cs="Arial"/>
          <w:lang w:val="el-GR"/>
        </w:rPr>
        <w:t>Ε</w:t>
      </w:r>
      <w:r w:rsidR="000F3ACB" w:rsidRPr="000F3ACB">
        <w:rPr>
          <w:rFonts w:ascii="Arial" w:hAnsi="Arial" w:cs="Arial"/>
          <w:lang w:val="el-GR"/>
        </w:rPr>
        <w:t>ξέταση αιτημάτων για την παροχή υπηρεσιών σε άτομα ή οντότητες που επηρεάζονται από την εφαρμογή των οικονομικών κυρώσεων του Συμβουλίου Ασφαλείας του ΟΗΕ και των περιοριστικών μέτρων της Ευρωπαϊκής Ένωσης</w:t>
      </w:r>
      <w:r w:rsidRPr="0095530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–</w:t>
      </w:r>
      <w:r w:rsidRPr="00955301">
        <w:rPr>
          <w:rFonts w:ascii="Arial" w:hAnsi="Arial" w:cs="Arial"/>
          <w:lang w:val="el-GR"/>
        </w:rPr>
        <w:t xml:space="preserve"> </w:t>
      </w:r>
      <w:r w:rsidR="009509DF">
        <w:rPr>
          <w:rFonts w:ascii="Arial" w:hAnsi="Arial" w:cs="Arial"/>
          <w:lang w:val="el-GR"/>
        </w:rPr>
        <w:t>Αίτηση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SEOK</w:t>
      </w:r>
      <w:r w:rsidRPr="00955301">
        <w:rPr>
          <w:rFonts w:ascii="Arial" w:hAnsi="Arial" w:cs="Arial"/>
          <w:lang w:val="el-GR"/>
        </w:rPr>
        <w:t xml:space="preserve"> 3</w:t>
      </w:r>
      <w:r w:rsidR="000F3ACB" w:rsidRPr="000F3ACB">
        <w:rPr>
          <w:rFonts w:ascii="Arial" w:hAnsi="Arial" w:cs="Arial"/>
          <w:lang w:val="el-GR"/>
        </w:rPr>
        <w:t>,</w:t>
      </w:r>
    </w:p>
    <w:p w14:paraId="7E70F494" w14:textId="67F0E3F8" w:rsidR="000F3ACB" w:rsidRPr="000F3ACB" w:rsidRDefault="00D05E01" w:rsidP="000F3AC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4</w:t>
      </w:r>
      <w:r w:rsidR="000F3ACB">
        <w:rPr>
          <w:rFonts w:ascii="Arial" w:hAnsi="Arial" w:cs="Arial"/>
          <w:lang w:val="el-GR"/>
        </w:rPr>
        <w:t>.</w:t>
      </w:r>
      <w:r w:rsidR="000F3ACB" w:rsidRPr="000F3ACB">
        <w:rPr>
          <w:rFonts w:ascii="Arial" w:hAnsi="Arial" w:cs="Arial"/>
          <w:lang w:val="el-GR"/>
        </w:rPr>
        <w:t xml:space="preserve"> </w:t>
      </w:r>
      <w:r w:rsidR="000F3ACB">
        <w:rPr>
          <w:rFonts w:ascii="Arial" w:hAnsi="Arial" w:cs="Arial"/>
          <w:lang w:val="el-GR"/>
        </w:rPr>
        <w:t>Ε</w:t>
      </w:r>
      <w:r w:rsidR="000F3ACB" w:rsidRPr="000F3ACB">
        <w:rPr>
          <w:rFonts w:ascii="Arial" w:hAnsi="Arial" w:cs="Arial"/>
          <w:lang w:val="el-GR"/>
        </w:rPr>
        <w:t xml:space="preserve">ξέταση αιτημάτων αναφορικά με λανθασμένη </w:t>
      </w:r>
      <w:proofErr w:type="spellStart"/>
      <w:r w:rsidR="000F3ACB" w:rsidRPr="000F3ACB">
        <w:rPr>
          <w:rFonts w:ascii="Arial" w:hAnsi="Arial" w:cs="Arial"/>
          <w:lang w:val="el-GR"/>
        </w:rPr>
        <w:t>παγοποίηση</w:t>
      </w:r>
      <w:proofErr w:type="spellEnd"/>
      <w:r w:rsidR="000F3ACB" w:rsidRPr="000F3ACB">
        <w:rPr>
          <w:rFonts w:ascii="Arial" w:hAnsi="Arial" w:cs="Arial"/>
          <w:lang w:val="el-GR"/>
        </w:rPr>
        <w:t xml:space="preserve"> κεφαλαίων σε πιστωτικά ιδρύματα</w:t>
      </w:r>
      <w:r w:rsidRPr="0095530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–</w:t>
      </w:r>
      <w:r w:rsidRPr="0095530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Αίτηση </w:t>
      </w:r>
      <w:r>
        <w:rPr>
          <w:rFonts w:ascii="Arial" w:hAnsi="Arial" w:cs="Arial"/>
        </w:rPr>
        <w:t>SEOK</w:t>
      </w:r>
      <w:r w:rsidRPr="00955301">
        <w:rPr>
          <w:rFonts w:ascii="Arial" w:hAnsi="Arial" w:cs="Arial"/>
          <w:lang w:val="el-GR"/>
        </w:rPr>
        <w:t xml:space="preserve"> 4</w:t>
      </w:r>
      <w:r w:rsidR="000F3ACB" w:rsidRPr="000F3ACB">
        <w:rPr>
          <w:rFonts w:ascii="Arial" w:hAnsi="Arial" w:cs="Arial"/>
          <w:lang w:val="el-GR"/>
        </w:rPr>
        <w:t>,</w:t>
      </w:r>
    </w:p>
    <w:p w14:paraId="48B91E71" w14:textId="77777777" w:rsidR="00AC5926" w:rsidRDefault="00AC5926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</w:p>
    <w:p w14:paraId="0D2A5222" w14:textId="533B077B" w:rsidR="00AC5926" w:rsidRPr="00AC5926" w:rsidRDefault="00AC5926" w:rsidP="00AC5926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 w:rsidRPr="00AC5926">
        <w:rPr>
          <w:rFonts w:ascii="Arial" w:hAnsi="Arial" w:cs="Arial"/>
          <w:sz w:val="22"/>
          <w:szCs w:val="22"/>
          <w:lang w:val="el-GR"/>
        </w:rPr>
        <w:t xml:space="preserve">Τα αιτήματα </w:t>
      </w:r>
      <w:r w:rsidR="00D05E01">
        <w:rPr>
          <w:rFonts w:ascii="Arial" w:hAnsi="Arial" w:cs="Arial"/>
          <w:sz w:val="22"/>
          <w:szCs w:val="22"/>
          <w:lang w:val="el-GR"/>
        </w:rPr>
        <w:t>προς</w:t>
      </w:r>
      <w:r w:rsidRPr="00AC5926">
        <w:rPr>
          <w:rFonts w:ascii="Arial" w:hAnsi="Arial" w:cs="Arial"/>
          <w:sz w:val="22"/>
          <w:szCs w:val="22"/>
          <w:lang w:val="el-GR"/>
        </w:rPr>
        <w:t xml:space="preserve"> τη Συμβουλευτική Επιτροπή Οικονομικών Κυρώσεων</w:t>
      </w:r>
      <w:r w:rsidR="00D05E01">
        <w:rPr>
          <w:rFonts w:ascii="Arial" w:hAnsi="Arial" w:cs="Arial"/>
          <w:sz w:val="22"/>
          <w:szCs w:val="22"/>
          <w:lang w:val="el-GR"/>
        </w:rPr>
        <w:t xml:space="preserve"> υποβάλλονται </w:t>
      </w:r>
      <w:r w:rsidR="00D37E43">
        <w:rPr>
          <w:rFonts w:ascii="Arial" w:hAnsi="Arial" w:cs="Arial"/>
          <w:sz w:val="22"/>
          <w:szCs w:val="22"/>
          <w:lang w:val="el-GR"/>
        </w:rPr>
        <w:t xml:space="preserve">μόνο με συμπληρωμένες αιτήσεις </w:t>
      </w:r>
      <w:r w:rsidR="00D37E43" w:rsidRPr="00955301">
        <w:rPr>
          <w:rFonts w:ascii="Arial" w:hAnsi="Arial" w:cs="Arial"/>
          <w:sz w:val="22"/>
          <w:szCs w:val="22"/>
          <w:lang w:val="el-GR"/>
        </w:rPr>
        <w:t>(</w:t>
      </w:r>
      <w:r w:rsidR="00D37E43" w:rsidRPr="002C4299">
        <w:rPr>
          <w:rFonts w:ascii="Arial" w:hAnsi="Arial" w:cs="Arial"/>
          <w:sz w:val="22"/>
          <w:szCs w:val="22"/>
        </w:rPr>
        <w:t>SEO</w:t>
      </w:r>
      <w:r w:rsidR="00D37E43" w:rsidRPr="002C4299">
        <w:rPr>
          <w:rFonts w:ascii="Arial" w:hAnsi="Arial" w:cs="Arial"/>
          <w:sz w:val="22"/>
          <w:szCs w:val="22"/>
        </w:rPr>
        <w:t>K</w:t>
      </w:r>
      <w:r w:rsidR="00D37E43" w:rsidRPr="002C4299">
        <w:rPr>
          <w:rFonts w:ascii="Arial" w:hAnsi="Arial" w:cs="Arial"/>
          <w:sz w:val="22"/>
          <w:szCs w:val="22"/>
          <w:lang w:val="el-GR"/>
        </w:rPr>
        <w:t xml:space="preserve"> 1</w:t>
      </w:r>
      <w:r w:rsidR="00D37E43" w:rsidRPr="00955301">
        <w:rPr>
          <w:rFonts w:ascii="Arial" w:hAnsi="Arial" w:cs="Arial"/>
          <w:sz w:val="22"/>
          <w:szCs w:val="22"/>
          <w:lang w:val="el-GR"/>
        </w:rPr>
        <w:t xml:space="preserve">, </w:t>
      </w:r>
      <w:r w:rsidR="00D37E43">
        <w:rPr>
          <w:rFonts w:ascii="Arial" w:hAnsi="Arial" w:cs="Arial"/>
          <w:sz w:val="22"/>
          <w:szCs w:val="22"/>
        </w:rPr>
        <w:t>SEOK</w:t>
      </w:r>
      <w:r w:rsidR="00D37E43" w:rsidRPr="00955301">
        <w:rPr>
          <w:rFonts w:ascii="Arial" w:hAnsi="Arial" w:cs="Arial"/>
          <w:sz w:val="22"/>
          <w:szCs w:val="22"/>
          <w:lang w:val="el-GR"/>
        </w:rPr>
        <w:t xml:space="preserve"> 2, </w:t>
      </w:r>
      <w:r w:rsidR="00D37E43">
        <w:rPr>
          <w:rFonts w:ascii="Arial" w:hAnsi="Arial" w:cs="Arial"/>
          <w:sz w:val="22"/>
          <w:szCs w:val="22"/>
        </w:rPr>
        <w:t>SEOK</w:t>
      </w:r>
      <w:r w:rsidR="00D37E43" w:rsidRPr="00955301">
        <w:rPr>
          <w:rFonts w:ascii="Arial" w:hAnsi="Arial" w:cs="Arial"/>
          <w:sz w:val="22"/>
          <w:szCs w:val="22"/>
          <w:lang w:val="el-GR"/>
        </w:rPr>
        <w:t xml:space="preserve"> 3, </w:t>
      </w:r>
      <w:r w:rsidR="00D37E43">
        <w:rPr>
          <w:rFonts w:ascii="Arial" w:hAnsi="Arial" w:cs="Arial"/>
          <w:sz w:val="22"/>
          <w:szCs w:val="22"/>
        </w:rPr>
        <w:t>SEOK</w:t>
      </w:r>
      <w:r w:rsidR="00D37E43" w:rsidRPr="00955301">
        <w:rPr>
          <w:rFonts w:ascii="Arial" w:hAnsi="Arial" w:cs="Arial"/>
          <w:sz w:val="22"/>
          <w:szCs w:val="22"/>
          <w:lang w:val="el-GR"/>
        </w:rPr>
        <w:t xml:space="preserve"> 4) </w:t>
      </w:r>
      <w:r w:rsidR="00D37E43">
        <w:rPr>
          <w:rFonts w:ascii="Arial" w:hAnsi="Arial" w:cs="Arial"/>
          <w:sz w:val="22"/>
          <w:szCs w:val="22"/>
          <w:lang w:val="el-GR"/>
        </w:rPr>
        <w:t xml:space="preserve">σε </w:t>
      </w:r>
      <w:r w:rsidR="00357C43">
        <w:rPr>
          <w:rFonts w:ascii="Arial" w:hAnsi="Arial" w:cs="Arial"/>
          <w:sz w:val="22"/>
          <w:szCs w:val="22"/>
          <w:lang w:val="el-GR"/>
        </w:rPr>
        <w:t xml:space="preserve">φυσική μορφή καθώς και σε ηλεκτρονική μορφή </w:t>
      </w:r>
      <w:r w:rsidR="00D05E01">
        <w:rPr>
          <w:rFonts w:ascii="Arial" w:hAnsi="Arial" w:cs="Arial"/>
          <w:sz w:val="22"/>
          <w:szCs w:val="22"/>
          <w:lang w:val="el-GR"/>
        </w:rPr>
        <w:t xml:space="preserve">στη </w:t>
      </w:r>
      <w:r w:rsidRPr="00AC5926">
        <w:rPr>
          <w:rFonts w:ascii="Arial" w:hAnsi="Arial" w:cs="Arial"/>
          <w:sz w:val="22"/>
          <w:szCs w:val="22"/>
          <w:lang w:val="el-GR"/>
        </w:rPr>
        <w:t xml:space="preserve">πιο κάτω ηλεκτρονική διεύθυνση: </w:t>
      </w:r>
    </w:p>
    <w:p w14:paraId="2B9D8B57" w14:textId="77777777" w:rsidR="00AC5926" w:rsidRPr="00AC5926" w:rsidRDefault="00AC5926" w:rsidP="00AC5926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</w:p>
    <w:p w14:paraId="00D1A11B" w14:textId="7A62DF05" w:rsidR="00AC5926" w:rsidRPr="00955301" w:rsidRDefault="00AC5926" w:rsidP="00AC5926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C5926">
        <w:rPr>
          <w:rFonts w:ascii="Arial" w:hAnsi="Arial" w:cs="Arial"/>
          <w:sz w:val="22"/>
          <w:szCs w:val="22"/>
          <w:lang w:val="el-GR"/>
        </w:rPr>
        <w:t>Ε</w:t>
      </w:r>
      <w:r w:rsidRPr="00955301">
        <w:rPr>
          <w:rFonts w:ascii="Arial" w:hAnsi="Arial" w:cs="Arial"/>
          <w:sz w:val="22"/>
          <w:szCs w:val="22"/>
        </w:rPr>
        <w:t xml:space="preserve">-mail: </w:t>
      </w:r>
      <w:hyperlink r:id="rId8" w:history="1">
        <w:r w:rsidR="009509DF" w:rsidRPr="0026173D">
          <w:rPr>
            <w:rStyle w:val="Hyperlink"/>
            <w:rFonts w:ascii="Arial" w:hAnsi="Arial" w:cs="Arial"/>
            <w:sz w:val="22"/>
            <w:szCs w:val="22"/>
          </w:rPr>
          <w:t>seok@mof.gov.cy</w:t>
        </w:r>
      </w:hyperlink>
      <w:r w:rsidR="009509DF" w:rsidRPr="005669A0">
        <w:rPr>
          <w:rFonts w:ascii="Arial" w:hAnsi="Arial" w:cs="Arial"/>
          <w:sz w:val="22"/>
          <w:szCs w:val="22"/>
        </w:rPr>
        <w:t xml:space="preserve"> </w:t>
      </w:r>
      <w:r w:rsidRPr="00955301">
        <w:rPr>
          <w:rFonts w:ascii="Arial" w:hAnsi="Arial" w:cs="Arial"/>
          <w:sz w:val="22"/>
          <w:szCs w:val="22"/>
        </w:rPr>
        <w:t xml:space="preserve">  </w:t>
      </w:r>
    </w:p>
    <w:p w14:paraId="43A13974" w14:textId="77777777" w:rsidR="009509DF" w:rsidRPr="005669A0" w:rsidRDefault="009509DF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57FBEE9" w14:textId="29E7FB52" w:rsidR="005F318B" w:rsidRP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 w:rsidRPr="005F318B">
        <w:rPr>
          <w:rFonts w:ascii="Arial" w:hAnsi="Arial" w:cs="Arial"/>
          <w:sz w:val="22"/>
          <w:szCs w:val="22"/>
          <w:lang w:val="el-GR"/>
        </w:rPr>
        <w:lastRenderedPageBreak/>
        <w:t xml:space="preserve">Πληροφορίες για τα υφιστάμενα καθεστώτα κυρώσεων ΣΑ/ΟΗΕ και τις σχετικές Επιτροπές Κυρώσεων ΣΑ/ΟΗΕ για την παρακολούθηση της εφαρμογής τους, καθώς επίσης για τις Ομάδες Εμπειρογνωμόνων που έχουν δημιουργηθεί και οι οποίες, σε γενικές γραμμές, συνεπικουρούν το έργο των αρμόδιων Επιτροπών Κυρώσεων ΣΑ/ΟΗΕ, δύναται να ανευρεθούν στην ιστοσελίδα του ΟΗΕ: </w:t>
      </w:r>
    </w:p>
    <w:p w14:paraId="20CBC132" w14:textId="4AC95A94" w:rsidR="005F318B" w:rsidRPr="005F318B" w:rsidRDefault="00813385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hyperlink r:id="rId9" w:history="1"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https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://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www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un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org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proofErr w:type="spellStart"/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sc</w:t>
        </w:r>
        <w:proofErr w:type="spellEnd"/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proofErr w:type="spellStart"/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suborg</w:t>
        </w:r>
        <w:proofErr w:type="spellEnd"/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proofErr w:type="spellStart"/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en</w:t>
        </w:r>
        <w:proofErr w:type="spellEnd"/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sanctions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information</w:t>
        </w:r>
      </w:hyperlink>
      <w:r w:rsidR="005F318B" w:rsidRPr="005F318B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414BD2B" w14:textId="77777777" w:rsid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</w:p>
    <w:p w14:paraId="43BF58C1" w14:textId="4CA07E29" w:rsidR="005F318B" w:rsidRP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 w:rsidRPr="005F318B">
        <w:rPr>
          <w:rFonts w:ascii="Arial" w:hAnsi="Arial" w:cs="Arial"/>
          <w:sz w:val="22"/>
          <w:szCs w:val="22"/>
          <w:lang w:val="el-GR"/>
        </w:rPr>
        <w:t xml:space="preserve">Η ιστοσελίδα του ΣΑ/ΟΗΕ, όπου μπορούν να αντληθούν όλες οι Αποφάσεις του Συμβουλίου Ασφαλείας κατ’ έτος: </w:t>
      </w:r>
    </w:p>
    <w:p w14:paraId="1EBCC9CB" w14:textId="7DAA512C" w:rsidR="005F318B" w:rsidRPr="005F318B" w:rsidRDefault="00813385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hyperlink r:id="rId10" w:history="1"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http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://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www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un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org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proofErr w:type="spellStart"/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en</w:t>
        </w:r>
        <w:proofErr w:type="spellEnd"/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proofErr w:type="spellStart"/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sc</w:t>
        </w:r>
        <w:proofErr w:type="spellEnd"/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documents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resolutions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</w:hyperlink>
      <w:r w:rsidR="005F318B" w:rsidRPr="005F318B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2061AF25" w14:textId="77777777" w:rsid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</w:p>
    <w:p w14:paraId="4B9636E1" w14:textId="6E7F3002" w:rsidR="005F318B" w:rsidRP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 w:rsidRPr="005F318B">
        <w:rPr>
          <w:rFonts w:ascii="Arial" w:hAnsi="Arial" w:cs="Arial"/>
          <w:sz w:val="22"/>
          <w:szCs w:val="22"/>
          <w:lang w:val="el-GR"/>
        </w:rPr>
        <w:t xml:space="preserve">Για ενημέρωση της </w:t>
      </w:r>
      <w:proofErr w:type="spellStart"/>
      <w:r w:rsidRPr="005F318B">
        <w:rPr>
          <w:rFonts w:ascii="Arial" w:hAnsi="Arial" w:cs="Arial"/>
          <w:sz w:val="22"/>
          <w:szCs w:val="22"/>
          <w:lang w:val="el-GR"/>
        </w:rPr>
        <w:t>επικαιροποιημένης</w:t>
      </w:r>
      <w:proofErr w:type="spellEnd"/>
      <w:r w:rsidRPr="005F318B">
        <w:rPr>
          <w:rFonts w:ascii="Arial" w:hAnsi="Arial" w:cs="Arial"/>
          <w:sz w:val="22"/>
          <w:szCs w:val="22"/>
          <w:lang w:val="el-GR"/>
        </w:rPr>
        <w:t xml:space="preserve"> έκδοσης των Περιοριστικών Μέτρων (Κυρώσεων) από Κανονισμούς της Ευρωπαϊκής Ένωσης, επισκεφτείτε τον πιο κάτω σύνδεσμο: </w:t>
      </w:r>
    </w:p>
    <w:p w14:paraId="5CC4302D" w14:textId="6CBE77EC" w:rsidR="005F318B" w:rsidRPr="005F318B" w:rsidRDefault="00813385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hyperlink r:id="rId11" w:history="1"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http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://</w:t>
        </w:r>
        <w:proofErr w:type="spellStart"/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eeas</w:t>
        </w:r>
        <w:proofErr w:type="spellEnd"/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europa</w:t>
        </w:r>
        <w:proofErr w:type="spellEnd"/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eu</w:t>
        </w:r>
        <w:proofErr w:type="spellEnd"/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proofErr w:type="spellStart"/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cfsp</w:t>
        </w:r>
        <w:proofErr w:type="spellEnd"/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sanctions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docs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measures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_</w:t>
        </w:r>
        <w:proofErr w:type="spellStart"/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en</w:t>
        </w:r>
        <w:proofErr w:type="spellEnd"/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pdf</w:t>
        </w:r>
      </w:hyperlink>
      <w:r w:rsidR="005F318B" w:rsidRPr="005F318B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DC8B546" w14:textId="77777777" w:rsidR="005F318B" w:rsidRPr="00955301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</w:p>
    <w:p w14:paraId="48FCAEDD" w14:textId="77777777" w:rsidR="00AC5926" w:rsidRPr="00955301" w:rsidRDefault="00AC5926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</w:p>
    <w:p w14:paraId="2C8C4B30" w14:textId="25106F37" w:rsidR="005F318B" w:rsidRPr="005669A0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u w:val="single"/>
          <w:lang w:val="el-GR"/>
        </w:rPr>
      </w:pPr>
      <w:r w:rsidRPr="005669A0">
        <w:rPr>
          <w:rFonts w:ascii="Arial" w:hAnsi="Arial" w:cs="Arial"/>
          <w:sz w:val="22"/>
          <w:szCs w:val="22"/>
          <w:u w:val="single"/>
          <w:lang w:val="el-GR"/>
        </w:rPr>
        <w:t>Τηλέφων</w:t>
      </w:r>
      <w:r w:rsidR="005669A0" w:rsidRPr="005669A0">
        <w:rPr>
          <w:rFonts w:ascii="Arial" w:hAnsi="Arial" w:cs="Arial"/>
          <w:sz w:val="22"/>
          <w:szCs w:val="22"/>
          <w:u w:val="single"/>
          <w:lang w:val="el-GR"/>
        </w:rPr>
        <w:t>α</w:t>
      </w:r>
      <w:r w:rsidRPr="005669A0">
        <w:rPr>
          <w:rFonts w:ascii="Arial" w:hAnsi="Arial" w:cs="Arial"/>
          <w:sz w:val="22"/>
          <w:szCs w:val="22"/>
          <w:u w:val="single"/>
          <w:lang w:val="el-GR"/>
        </w:rPr>
        <w:t xml:space="preserve"> Επικοινωνίας: </w:t>
      </w:r>
    </w:p>
    <w:p w14:paraId="1D50EC09" w14:textId="19A9817D" w:rsidR="005669A0" w:rsidRDefault="005669A0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 w:rsidRPr="005669A0">
        <w:rPr>
          <w:rFonts w:ascii="Arial" w:hAnsi="Arial" w:cs="Arial"/>
          <w:sz w:val="22"/>
          <w:szCs w:val="22"/>
          <w:lang w:val="el-GR"/>
        </w:rPr>
        <w:t xml:space="preserve">22 60-1179 </w:t>
      </w:r>
      <w:r>
        <w:rPr>
          <w:rFonts w:ascii="Arial" w:hAnsi="Arial" w:cs="Arial"/>
          <w:sz w:val="22"/>
          <w:szCs w:val="22"/>
          <w:lang w:val="el-GR"/>
        </w:rPr>
        <w:t>(</w:t>
      </w:r>
      <w:r w:rsidR="005F318B">
        <w:rPr>
          <w:rFonts w:ascii="Arial" w:hAnsi="Arial" w:cs="Arial"/>
          <w:sz w:val="22"/>
          <w:szCs w:val="22"/>
          <w:lang w:val="el-GR"/>
        </w:rPr>
        <w:t xml:space="preserve">Γεωργία Αναστασίου </w:t>
      </w:r>
      <w:proofErr w:type="spellStart"/>
      <w:r w:rsidR="005F318B">
        <w:rPr>
          <w:rFonts w:ascii="Arial" w:hAnsi="Arial" w:cs="Arial"/>
          <w:sz w:val="22"/>
          <w:szCs w:val="22"/>
          <w:lang w:val="el-GR"/>
        </w:rPr>
        <w:t>Θεμιστοκλέους</w:t>
      </w:r>
      <w:proofErr w:type="spellEnd"/>
      <w:r>
        <w:rPr>
          <w:rFonts w:ascii="Arial" w:hAnsi="Arial" w:cs="Arial"/>
          <w:sz w:val="22"/>
          <w:szCs w:val="22"/>
          <w:lang w:val="el-GR"/>
        </w:rPr>
        <w:t>)</w:t>
      </w:r>
    </w:p>
    <w:p w14:paraId="1D2D4D5A" w14:textId="26C1342F" w:rsidR="005F318B" w:rsidRPr="005F318B" w:rsidRDefault="005669A0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 w:rsidRPr="005669A0">
        <w:rPr>
          <w:rFonts w:ascii="Arial" w:hAnsi="Arial" w:cs="Arial"/>
          <w:sz w:val="22"/>
          <w:szCs w:val="22"/>
          <w:lang w:val="el-GR"/>
        </w:rPr>
        <w:t>22 60-117</w:t>
      </w:r>
      <w:r>
        <w:rPr>
          <w:rFonts w:ascii="Arial" w:hAnsi="Arial" w:cs="Arial"/>
          <w:sz w:val="22"/>
          <w:szCs w:val="22"/>
          <w:lang w:val="el-GR"/>
        </w:rPr>
        <w:t>7 (</w:t>
      </w:r>
      <w:r w:rsidR="00A66ACD">
        <w:rPr>
          <w:rFonts w:ascii="Arial" w:hAnsi="Arial" w:cs="Arial"/>
          <w:sz w:val="22"/>
          <w:szCs w:val="22"/>
          <w:lang w:val="el-GR"/>
        </w:rPr>
        <w:t xml:space="preserve">Ευαγγελία </w:t>
      </w:r>
      <w:proofErr w:type="spellStart"/>
      <w:r w:rsidR="00A66ACD">
        <w:rPr>
          <w:rFonts w:ascii="Arial" w:hAnsi="Arial" w:cs="Arial"/>
          <w:sz w:val="22"/>
          <w:szCs w:val="22"/>
          <w:lang w:val="el-GR"/>
        </w:rPr>
        <w:t>Ευριπίδου</w:t>
      </w:r>
      <w:proofErr w:type="spellEnd"/>
      <w:r>
        <w:rPr>
          <w:rFonts w:ascii="Arial" w:hAnsi="Arial" w:cs="Arial"/>
          <w:sz w:val="22"/>
          <w:szCs w:val="22"/>
          <w:lang w:val="el-GR"/>
        </w:rPr>
        <w:t>)</w:t>
      </w:r>
      <w:r w:rsidR="00A66ACD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003F2DD3" w14:textId="12CDA955" w:rsidR="006159AA" w:rsidRPr="005F318B" w:rsidRDefault="006159AA">
      <w:pPr>
        <w:rPr>
          <w:lang w:val="el-GR"/>
        </w:rPr>
      </w:pPr>
    </w:p>
    <w:p w14:paraId="76E5E5C3" w14:textId="6CAC67C6" w:rsidR="006159AA" w:rsidRPr="005F318B" w:rsidRDefault="006159AA">
      <w:pPr>
        <w:rPr>
          <w:lang w:val="el-GR"/>
        </w:rPr>
      </w:pPr>
    </w:p>
    <w:sectPr w:rsidR="006159AA" w:rsidRPr="005F318B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EC685" w14:textId="77777777" w:rsidR="00813385" w:rsidRDefault="00813385" w:rsidP="00B43543">
      <w:pPr>
        <w:spacing w:after="0" w:line="240" w:lineRule="auto"/>
      </w:pPr>
      <w:r>
        <w:separator/>
      </w:r>
    </w:p>
  </w:endnote>
  <w:endnote w:type="continuationSeparator" w:id="0">
    <w:p w14:paraId="59D919D8" w14:textId="77777777" w:rsidR="00813385" w:rsidRDefault="00813385" w:rsidP="00B4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D4376" w14:textId="7ABC94AD" w:rsidR="00B43543" w:rsidRPr="009703FB" w:rsidRDefault="00B43543" w:rsidP="00B43543">
    <w:pPr>
      <w:pStyle w:val="Footer"/>
      <w:jc w:val="both"/>
      <w:rPr>
        <w:sz w:val="16"/>
        <w:szCs w:val="16"/>
      </w:rPr>
    </w:pPr>
    <w:r w:rsidRPr="009703FB">
      <w:rPr>
        <w:sz w:val="16"/>
        <w:szCs w:val="16"/>
      </w:rPr>
      <w:fldChar w:fldCharType="begin"/>
    </w:r>
    <w:r w:rsidRPr="009703FB">
      <w:rPr>
        <w:sz w:val="16"/>
        <w:szCs w:val="16"/>
      </w:rPr>
      <w:instrText xml:space="preserve"> FILENAME   \* MERGEFORMAT </w:instrText>
    </w:r>
    <w:r w:rsidRPr="009703FB">
      <w:rPr>
        <w:sz w:val="16"/>
        <w:szCs w:val="16"/>
      </w:rPr>
      <w:fldChar w:fldCharType="separate"/>
    </w:r>
    <w:r w:rsidR="00357C43">
      <w:rPr>
        <w:noProof/>
        <w:sz w:val="16"/>
        <w:szCs w:val="16"/>
      </w:rPr>
      <w:t>Συμβουλευτική Επιτροπή Οικονομικών Κυρώσεων_19_05_2022</w:t>
    </w:r>
    <w:r w:rsidRPr="009703F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A8CA0" w14:textId="77777777" w:rsidR="00813385" w:rsidRDefault="00813385" w:rsidP="00B43543">
      <w:pPr>
        <w:spacing w:after="0" w:line="240" w:lineRule="auto"/>
      </w:pPr>
      <w:r>
        <w:separator/>
      </w:r>
    </w:p>
  </w:footnote>
  <w:footnote w:type="continuationSeparator" w:id="0">
    <w:p w14:paraId="46C3508D" w14:textId="77777777" w:rsidR="00813385" w:rsidRDefault="00813385" w:rsidP="00B4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B2CB4"/>
    <w:multiLevelType w:val="hybridMultilevel"/>
    <w:tmpl w:val="485C6E5A"/>
    <w:lvl w:ilvl="0" w:tplc="FD9E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0"/>
    <w:rsid w:val="00080204"/>
    <w:rsid w:val="000F3ACB"/>
    <w:rsid w:val="001601BC"/>
    <w:rsid w:val="00180EF5"/>
    <w:rsid w:val="00227240"/>
    <w:rsid w:val="002C4299"/>
    <w:rsid w:val="002C4BAC"/>
    <w:rsid w:val="002C7DB2"/>
    <w:rsid w:val="002D17EC"/>
    <w:rsid w:val="0032261A"/>
    <w:rsid w:val="00357C43"/>
    <w:rsid w:val="004361F3"/>
    <w:rsid w:val="005036D8"/>
    <w:rsid w:val="00555AA3"/>
    <w:rsid w:val="005669A0"/>
    <w:rsid w:val="00587970"/>
    <w:rsid w:val="005F318B"/>
    <w:rsid w:val="006159AA"/>
    <w:rsid w:val="00653926"/>
    <w:rsid w:val="00733DF8"/>
    <w:rsid w:val="00783F9F"/>
    <w:rsid w:val="00813385"/>
    <w:rsid w:val="00883449"/>
    <w:rsid w:val="008E764A"/>
    <w:rsid w:val="009019F4"/>
    <w:rsid w:val="009509DF"/>
    <w:rsid w:val="00955301"/>
    <w:rsid w:val="009703FB"/>
    <w:rsid w:val="00A206B5"/>
    <w:rsid w:val="00A24CDB"/>
    <w:rsid w:val="00A66ACD"/>
    <w:rsid w:val="00AC5926"/>
    <w:rsid w:val="00B43543"/>
    <w:rsid w:val="00BD2905"/>
    <w:rsid w:val="00D05E01"/>
    <w:rsid w:val="00D37E43"/>
    <w:rsid w:val="00D80281"/>
    <w:rsid w:val="00DB187C"/>
    <w:rsid w:val="00E0517D"/>
    <w:rsid w:val="00EA1788"/>
    <w:rsid w:val="00FB7969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9E4D"/>
  <w15:chartTrackingRefBased/>
  <w15:docId w15:val="{891FC0E1-4A73-49E9-9FBA-9ADDA763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7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70"/>
    <w:pPr>
      <w:ind w:left="720"/>
      <w:contextualSpacing/>
    </w:pPr>
  </w:style>
  <w:style w:type="paragraph" w:customStyle="1" w:styleId="Default">
    <w:name w:val="Default"/>
    <w:rsid w:val="005F3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1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3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3"/>
  </w:style>
  <w:style w:type="paragraph" w:styleId="Footer">
    <w:name w:val="footer"/>
    <w:basedOn w:val="Normal"/>
    <w:link w:val="FooterChar"/>
    <w:uiPriority w:val="99"/>
    <w:unhideWhenUsed/>
    <w:rsid w:val="00B43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3"/>
  </w:style>
  <w:style w:type="paragraph" w:styleId="BalloonText">
    <w:name w:val="Balloon Text"/>
    <w:basedOn w:val="Normal"/>
    <w:link w:val="BalloonTextChar"/>
    <w:uiPriority w:val="99"/>
    <w:semiHidden/>
    <w:unhideWhenUsed/>
    <w:rsid w:val="0035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530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9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k@mof.gov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eas.europa.eu/cfsp/sanctions/docs/measures_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.org/en/sc/documents/resolu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sc/suborg/en/sanctions/inform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5FF3-957A-4E0E-B3B6-BFD90E0B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Themistocleous  Georgia</dc:creator>
  <cp:keywords/>
  <dc:description/>
  <cp:lastModifiedBy>Nicoletta Hapside</cp:lastModifiedBy>
  <cp:revision>3</cp:revision>
  <cp:lastPrinted>2022-05-19T09:54:00Z</cp:lastPrinted>
  <dcterms:created xsi:type="dcterms:W3CDTF">2022-05-25T05:20:00Z</dcterms:created>
  <dcterms:modified xsi:type="dcterms:W3CDTF">2022-05-26T10:42:00Z</dcterms:modified>
</cp:coreProperties>
</file>