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1938" w14:textId="74876A71" w:rsidR="006513E9" w:rsidRPr="00A109FA" w:rsidRDefault="006513E9" w:rsidP="00A109FA">
      <w:pPr>
        <w:spacing w:line="360" w:lineRule="auto"/>
        <w:ind w:right="28"/>
        <w:jc w:val="center"/>
        <w:rPr>
          <w:rFonts w:ascii="Arial" w:hAnsi="Arial" w:cs="Arial"/>
          <w:bCs/>
          <w:sz w:val="24"/>
          <w:szCs w:val="24"/>
          <w:lang w:val="el-GR"/>
        </w:rPr>
      </w:pPr>
      <w:r w:rsidRPr="00A109FA">
        <w:rPr>
          <w:rFonts w:ascii="Arial" w:hAnsi="Arial" w:cs="Arial"/>
          <w:bCs/>
          <w:sz w:val="24"/>
          <w:szCs w:val="24"/>
          <w:lang w:val="el-GR"/>
        </w:rPr>
        <w:t>ΝΟΜΟΣΧΕΔΙΟ ΜΕ ΤΙΤΛΟ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850"/>
        <w:gridCol w:w="750"/>
        <w:gridCol w:w="242"/>
        <w:gridCol w:w="6245"/>
      </w:tblGrid>
      <w:tr w:rsidR="006513E9" w:rsidRPr="00134520" w14:paraId="69DA495C" w14:textId="77777777" w:rsidTr="008D42BB">
        <w:tc>
          <w:tcPr>
            <w:tcW w:w="9080" w:type="dxa"/>
            <w:gridSpan w:val="6"/>
          </w:tcPr>
          <w:p w14:paraId="02574AB9" w14:textId="69782996" w:rsidR="006513E9" w:rsidRPr="00A109FA" w:rsidRDefault="003B5F73" w:rsidP="00A109FA">
            <w:pPr>
              <w:spacing w:line="360" w:lineRule="auto"/>
              <w:jc w:val="center"/>
              <w:rPr>
                <w:rFonts w:ascii="Arial" w:hAnsi="Arial" w:cs="Arial"/>
                <w:sz w:val="24"/>
                <w:szCs w:val="24"/>
                <w:lang w:val="el-GR"/>
              </w:rPr>
            </w:pPr>
            <w:r w:rsidRPr="00A109FA">
              <w:rPr>
                <w:rFonts w:ascii="Arial" w:hAnsi="Arial" w:cs="Arial"/>
                <w:sz w:val="24"/>
                <w:szCs w:val="24"/>
                <w:lang w:val="el-GR"/>
              </w:rPr>
              <w:t>ΝΟΜΟΣ ΠΟΥ ΤΡΟΠΟΠΟΙΕΙ Τ</w:t>
            </w:r>
            <w:r w:rsidR="00ED0AE6" w:rsidRPr="00A109FA">
              <w:rPr>
                <w:rFonts w:ascii="Arial" w:hAnsi="Arial" w:cs="Arial"/>
                <w:sz w:val="24"/>
                <w:szCs w:val="24"/>
                <w:lang w:val="el-GR"/>
              </w:rPr>
              <w:t>Ο</w:t>
            </w:r>
            <w:r w:rsidRPr="00A109FA">
              <w:rPr>
                <w:rFonts w:ascii="Arial" w:hAnsi="Arial" w:cs="Arial"/>
                <w:sz w:val="24"/>
                <w:szCs w:val="24"/>
                <w:lang w:val="el-GR"/>
              </w:rPr>
              <w:t>Ν</w:t>
            </w:r>
            <w:r w:rsidR="001226B5" w:rsidRPr="00A109FA">
              <w:rPr>
                <w:rFonts w:ascii="Arial" w:hAnsi="Arial" w:cs="Arial"/>
                <w:sz w:val="24"/>
                <w:szCs w:val="24"/>
                <w:lang w:val="el-GR"/>
              </w:rPr>
              <w:t xml:space="preserve"> ΠΕΡΙ</w:t>
            </w:r>
            <w:r w:rsidR="00641ED7" w:rsidRPr="00A109FA">
              <w:rPr>
                <w:rFonts w:ascii="Arial" w:hAnsi="Arial" w:cs="Arial"/>
                <w:sz w:val="24"/>
                <w:szCs w:val="24"/>
                <w:lang w:val="el-GR"/>
              </w:rPr>
              <w:t xml:space="preserve"> </w:t>
            </w:r>
            <w:r w:rsidR="00A72908">
              <w:rPr>
                <w:rFonts w:ascii="Arial" w:hAnsi="Arial" w:cs="Arial"/>
                <w:sz w:val="24"/>
                <w:szCs w:val="24"/>
                <w:lang w:val="el-GR"/>
              </w:rPr>
              <w:t>ΣΥΓΚΡΙΣΙΜΟΤΗΤΑΣ ΤΩΝ ΤΕΛΩΝ, ΤΗΣ ΑΛΛΑΓΗΣ ΛΟΓΑΡΙΑΣΜΟΥ ΠΛΗΡΩΜΩΝ ΚΑΙ ΤΗΣ ΠΡΟΣΒΑΣΗΣ ΣΕ ΛΟΓΑΡΙΑΣΜΟΥΣ ΠΛΗΡΩΜΩΝ ΝΟΜΟΣ ΤΟΥ 2017</w:t>
            </w:r>
            <w:r w:rsidR="00641ED7" w:rsidRPr="00A109FA">
              <w:rPr>
                <w:rFonts w:ascii="Arial" w:hAnsi="Arial" w:cs="Arial"/>
                <w:sz w:val="24"/>
                <w:szCs w:val="24"/>
                <w:lang w:val="el-GR"/>
              </w:rPr>
              <w:t xml:space="preserve"> </w:t>
            </w:r>
          </w:p>
        </w:tc>
      </w:tr>
      <w:tr w:rsidR="006513E9" w:rsidRPr="00134520" w14:paraId="285D400B" w14:textId="77777777" w:rsidTr="008D42BB">
        <w:tc>
          <w:tcPr>
            <w:tcW w:w="9080" w:type="dxa"/>
            <w:gridSpan w:val="6"/>
          </w:tcPr>
          <w:p w14:paraId="763D4A6D" w14:textId="77777777" w:rsidR="006513E9" w:rsidRPr="00A109FA" w:rsidRDefault="006513E9" w:rsidP="00A109FA">
            <w:pPr>
              <w:spacing w:line="360" w:lineRule="auto"/>
              <w:jc w:val="center"/>
              <w:rPr>
                <w:rFonts w:ascii="Arial" w:hAnsi="Arial" w:cs="Arial"/>
                <w:sz w:val="24"/>
                <w:szCs w:val="24"/>
                <w:lang w:val="el-GR"/>
              </w:rPr>
            </w:pPr>
          </w:p>
        </w:tc>
      </w:tr>
      <w:tr w:rsidR="006513E9" w:rsidRPr="00134520" w14:paraId="22220DDE" w14:textId="77777777" w:rsidTr="008D42BB">
        <w:tc>
          <w:tcPr>
            <w:tcW w:w="1843" w:type="dxa"/>
            <w:gridSpan w:val="3"/>
          </w:tcPr>
          <w:p w14:paraId="1C6EB6FF" w14:textId="77777777" w:rsidR="006513E9" w:rsidRPr="00A109FA" w:rsidRDefault="006513E9" w:rsidP="00A109FA">
            <w:pPr>
              <w:spacing w:line="360" w:lineRule="auto"/>
              <w:ind w:right="-57"/>
              <w:jc w:val="both"/>
              <w:rPr>
                <w:rFonts w:ascii="Arial" w:hAnsi="Arial" w:cs="Arial"/>
                <w:lang w:val="el-GR"/>
              </w:rPr>
            </w:pPr>
            <w:r w:rsidRPr="00A109FA">
              <w:rPr>
                <w:rFonts w:ascii="Arial" w:hAnsi="Arial" w:cs="Arial"/>
                <w:lang w:val="el-GR"/>
              </w:rPr>
              <w:t>Προοίμιο.</w:t>
            </w:r>
          </w:p>
          <w:p w14:paraId="6C11C6B6" w14:textId="77777777" w:rsidR="00EC16B1" w:rsidRPr="00A109FA" w:rsidRDefault="00EC16B1" w:rsidP="00A109FA">
            <w:pPr>
              <w:spacing w:line="360" w:lineRule="auto"/>
              <w:ind w:right="-57"/>
              <w:rPr>
                <w:rFonts w:ascii="Arial" w:hAnsi="Arial" w:cs="Arial"/>
                <w:lang w:val="el-GR"/>
              </w:rPr>
            </w:pPr>
          </w:p>
          <w:p w14:paraId="651F11EB" w14:textId="5DF3D88F" w:rsidR="006513E9" w:rsidRPr="00A109FA" w:rsidRDefault="006513E9" w:rsidP="00A109FA">
            <w:pPr>
              <w:spacing w:line="360" w:lineRule="auto"/>
              <w:ind w:right="-57"/>
              <w:rPr>
                <w:rFonts w:ascii="Arial" w:hAnsi="Arial" w:cs="Arial"/>
                <w:sz w:val="24"/>
                <w:szCs w:val="24"/>
                <w:lang w:val="el-GR"/>
              </w:rPr>
            </w:pPr>
            <w:r w:rsidRPr="00AF317A">
              <w:rPr>
                <w:rFonts w:ascii="Arial" w:hAnsi="Arial" w:cs="Arial"/>
                <w:lang w:val="el-GR"/>
              </w:rPr>
              <w:t xml:space="preserve">Επίσημη Εφημερίδα της ΕΕ, </w:t>
            </w:r>
            <w:r w:rsidRPr="00AF317A">
              <w:rPr>
                <w:rFonts w:ascii="Arial" w:hAnsi="Arial" w:cs="Arial"/>
              </w:rPr>
              <w:t>L</w:t>
            </w:r>
            <w:r w:rsidRPr="00AF317A">
              <w:rPr>
                <w:rFonts w:ascii="Arial" w:hAnsi="Arial" w:cs="Arial"/>
                <w:lang w:val="el-GR"/>
              </w:rPr>
              <w:t xml:space="preserve"> </w:t>
            </w:r>
            <w:r w:rsidR="008D42BB">
              <w:rPr>
                <w:rFonts w:ascii="Arial" w:hAnsi="Arial" w:cs="Arial"/>
                <w:lang w:val="el-GR"/>
              </w:rPr>
              <w:t>257</w:t>
            </w:r>
            <w:r w:rsidRPr="00AF317A">
              <w:rPr>
                <w:rFonts w:ascii="Arial" w:hAnsi="Arial" w:cs="Arial"/>
                <w:lang w:val="el-GR"/>
              </w:rPr>
              <w:t xml:space="preserve">, </w:t>
            </w:r>
            <w:r w:rsidR="008D42BB">
              <w:rPr>
                <w:rFonts w:ascii="Arial" w:hAnsi="Arial" w:cs="Arial"/>
                <w:lang w:val="el-GR"/>
              </w:rPr>
              <w:t>28</w:t>
            </w:r>
            <w:r w:rsidRPr="00AF317A">
              <w:rPr>
                <w:rFonts w:ascii="Arial" w:hAnsi="Arial" w:cs="Arial"/>
                <w:lang w:val="el-GR"/>
              </w:rPr>
              <w:t>.</w:t>
            </w:r>
            <w:r w:rsidR="008D42BB">
              <w:rPr>
                <w:rFonts w:ascii="Arial" w:hAnsi="Arial" w:cs="Arial"/>
                <w:lang w:val="el-GR"/>
              </w:rPr>
              <w:t>8</w:t>
            </w:r>
            <w:r w:rsidRPr="00AF317A">
              <w:rPr>
                <w:rFonts w:ascii="Arial" w:hAnsi="Arial" w:cs="Arial"/>
                <w:lang w:val="el-GR"/>
              </w:rPr>
              <w:t>.20</w:t>
            </w:r>
            <w:r w:rsidR="004206DE" w:rsidRPr="00AF317A">
              <w:rPr>
                <w:rFonts w:ascii="Arial" w:hAnsi="Arial" w:cs="Arial"/>
                <w:lang w:val="el-GR"/>
              </w:rPr>
              <w:t>14</w:t>
            </w:r>
            <w:r w:rsidRPr="00AF317A">
              <w:rPr>
                <w:rFonts w:ascii="Arial" w:hAnsi="Arial" w:cs="Arial"/>
                <w:lang w:val="el-GR"/>
              </w:rPr>
              <w:t>, σ.</w:t>
            </w:r>
            <w:r w:rsidR="008D42BB">
              <w:rPr>
                <w:rFonts w:ascii="Arial" w:hAnsi="Arial" w:cs="Arial"/>
                <w:lang w:val="el-GR"/>
              </w:rPr>
              <w:t>214</w:t>
            </w:r>
            <w:r w:rsidRPr="00AF317A">
              <w:rPr>
                <w:rFonts w:ascii="Arial" w:hAnsi="Arial" w:cs="Arial"/>
                <w:lang w:val="el-GR"/>
              </w:rPr>
              <w:t>∙</w:t>
            </w:r>
          </w:p>
        </w:tc>
        <w:tc>
          <w:tcPr>
            <w:tcW w:w="7237" w:type="dxa"/>
            <w:gridSpan w:val="3"/>
          </w:tcPr>
          <w:p w14:paraId="2E02A97B" w14:textId="77777777" w:rsidR="00B84A20" w:rsidRDefault="00ED0AE6" w:rsidP="00A857EA">
            <w:pPr>
              <w:spacing w:line="360" w:lineRule="auto"/>
              <w:ind w:left="170"/>
              <w:jc w:val="both"/>
              <w:rPr>
                <w:rFonts w:ascii="Arial" w:hAnsi="Arial" w:cs="Arial"/>
                <w:sz w:val="24"/>
                <w:szCs w:val="24"/>
                <w:lang w:val="el-GR"/>
              </w:rPr>
            </w:pPr>
            <w:r w:rsidRPr="00A109FA">
              <w:rPr>
                <w:rFonts w:ascii="Arial" w:hAnsi="Arial" w:cs="Arial"/>
                <w:sz w:val="24"/>
                <w:szCs w:val="24"/>
                <w:lang w:val="el-GR"/>
              </w:rPr>
              <w:t>Για σκοπούς</w:t>
            </w:r>
          </w:p>
          <w:p w14:paraId="43572583" w14:textId="3B2C6BA3" w:rsidR="00B84A20" w:rsidRDefault="00B84A20" w:rsidP="00B84A20">
            <w:pPr>
              <w:spacing w:line="360" w:lineRule="auto"/>
              <w:ind w:left="170"/>
              <w:jc w:val="both"/>
              <w:rPr>
                <w:rFonts w:ascii="Arial" w:hAnsi="Arial" w:cs="Arial"/>
                <w:sz w:val="24"/>
                <w:szCs w:val="24"/>
                <w:lang w:val="el-GR"/>
              </w:rPr>
            </w:pPr>
            <w:r>
              <w:rPr>
                <w:rFonts w:ascii="Arial" w:hAnsi="Arial" w:cs="Arial"/>
                <w:sz w:val="24"/>
                <w:szCs w:val="24"/>
                <w:lang w:val="el-GR"/>
              </w:rPr>
              <w:t>(α)</w:t>
            </w:r>
            <w:r w:rsidR="008D42BB">
              <w:rPr>
                <w:rFonts w:ascii="Arial" w:hAnsi="Arial" w:cs="Arial"/>
                <w:sz w:val="24"/>
                <w:szCs w:val="24"/>
                <w:lang w:val="el-GR"/>
              </w:rPr>
              <w:t xml:space="preserve"> εκ νέου</w:t>
            </w:r>
            <w:r w:rsidR="003F5C70">
              <w:rPr>
                <w:rFonts w:ascii="Arial" w:hAnsi="Arial" w:cs="Arial"/>
                <w:sz w:val="24"/>
                <w:szCs w:val="24"/>
                <w:lang w:val="el-GR"/>
              </w:rPr>
              <w:t xml:space="preserve"> εναρμόνισης με τ</w:t>
            </w:r>
            <w:r w:rsidR="000A7BFE">
              <w:rPr>
                <w:rFonts w:ascii="Arial" w:hAnsi="Arial" w:cs="Arial"/>
                <w:sz w:val="24"/>
                <w:szCs w:val="24"/>
                <w:lang w:val="el-GR"/>
              </w:rPr>
              <w:t>α</w:t>
            </w:r>
            <w:r w:rsidR="003F5C70">
              <w:rPr>
                <w:rFonts w:ascii="Arial" w:hAnsi="Arial" w:cs="Arial"/>
                <w:sz w:val="24"/>
                <w:szCs w:val="24"/>
                <w:lang w:val="el-GR"/>
              </w:rPr>
              <w:t xml:space="preserve"> </w:t>
            </w:r>
            <w:r w:rsidR="00A857EA">
              <w:rPr>
                <w:rFonts w:ascii="Arial" w:hAnsi="Arial" w:cs="Arial"/>
                <w:sz w:val="24"/>
                <w:szCs w:val="24"/>
                <w:lang w:val="el-GR"/>
              </w:rPr>
              <w:t>Ά</w:t>
            </w:r>
            <w:r w:rsidR="003F5C70" w:rsidRPr="00B55DE0">
              <w:rPr>
                <w:rFonts w:ascii="Arial" w:hAnsi="Arial" w:cs="Arial"/>
                <w:sz w:val="24"/>
                <w:szCs w:val="24"/>
                <w:lang w:val="el-GR"/>
              </w:rPr>
              <w:t>ρθρ</w:t>
            </w:r>
            <w:r w:rsidR="000A7BFE" w:rsidRPr="00B55DE0">
              <w:rPr>
                <w:rFonts w:ascii="Arial" w:hAnsi="Arial" w:cs="Arial"/>
                <w:sz w:val="24"/>
                <w:szCs w:val="24"/>
                <w:lang w:val="el-GR"/>
              </w:rPr>
              <w:t>α</w:t>
            </w:r>
            <w:r w:rsidR="003F5C70" w:rsidRPr="00B55DE0">
              <w:rPr>
                <w:rFonts w:ascii="Arial" w:hAnsi="Arial" w:cs="Arial"/>
                <w:sz w:val="24"/>
                <w:szCs w:val="24"/>
                <w:lang w:val="el-GR"/>
              </w:rPr>
              <w:t xml:space="preserve"> </w:t>
            </w:r>
            <w:r w:rsidR="00B55DE0" w:rsidRPr="00B55DE0">
              <w:rPr>
                <w:rFonts w:ascii="Arial" w:hAnsi="Arial" w:cs="Arial"/>
                <w:sz w:val="24"/>
                <w:szCs w:val="24"/>
                <w:lang w:val="el-GR"/>
              </w:rPr>
              <w:t>16</w:t>
            </w:r>
            <w:r w:rsidR="003C7BEF">
              <w:rPr>
                <w:rFonts w:ascii="Arial" w:hAnsi="Arial" w:cs="Arial"/>
                <w:sz w:val="24"/>
                <w:szCs w:val="24"/>
                <w:lang w:val="el-GR"/>
              </w:rPr>
              <w:t>.</w:t>
            </w:r>
            <w:r w:rsidR="00B55DE0" w:rsidRPr="00B55DE0">
              <w:rPr>
                <w:rFonts w:ascii="Arial" w:hAnsi="Arial" w:cs="Arial"/>
                <w:sz w:val="24"/>
                <w:szCs w:val="24"/>
                <w:lang w:val="el-GR"/>
              </w:rPr>
              <w:t>7</w:t>
            </w:r>
            <w:r w:rsidR="00134520">
              <w:rPr>
                <w:rFonts w:ascii="Arial" w:hAnsi="Arial" w:cs="Arial"/>
                <w:sz w:val="24"/>
                <w:szCs w:val="24"/>
                <w:lang w:val="el-GR"/>
              </w:rPr>
              <w:t>)</w:t>
            </w:r>
            <w:r w:rsidR="00E8290F" w:rsidRPr="00B55DE0">
              <w:rPr>
                <w:rFonts w:ascii="Arial" w:hAnsi="Arial" w:cs="Arial"/>
                <w:sz w:val="24"/>
                <w:szCs w:val="24"/>
                <w:lang w:val="el-GR"/>
              </w:rPr>
              <w:t xml:space="preserve">, </w:t>
            </w:r>
            <w:r w:rsidR="00B55DE0" w:rsidRPr="00B55DE0">
              <w:rPr>
                <w:rFonts w:ascii="Arial" w:hAnsi="Arial" w:cs="Arial"/>
                <w:sz w:val="24"/>
                <w:szCs w:val="24"/>
                <w:lang w:val="el-GR"/>
              </w:rPr>
              <w:t>19</w:t>
            </w:r>
            <w:r w:rsidR="003C7BEF">
              <w:rPr>
                <w:rFonts w:ascii="Arial" w:hAnsi="Arial" w:cs="Arial"/>
                <w:sz w:val="24"/>
                <w:szCs w:val="24"/>
                <w:lang w:val="el-GR"/>
              </w:rPr>
              <w:t>.</w:t>
            </w:r>
            <w:r w:rsidR="00B55DE0" w:rsidRPr="00B55DE0">
              <w:rPr>
                <w:rFonts w:ascii="Arial" w:hAnsi="Arial" w:cs="Arial"/>
                <w:sz w:val="24"/>
                <w:szCs w:val="24"/>
                <w:lang w:val="el-GR"/>
              </w:rPr>
              <w:t>5</w:t>
            </w:r>
            <w:r w:rsidR="00134520">
              <w:rPr>
                <w:rFonts w:ascii="Arial" w:hAnsi="Arial" w:cs="Arial"/>
                <w:sz w:val="24"/>
                <w:szCs w:val="24"/>
                <w:lang w:val="el-GR"/>
              </w:rPr>
              <w:t>)</w:t>
            </w:r>
            <w:bookmarkStart w:id="0" w:name="_GoBack"/>
            <w:bookmarkEnd w:id="0"/>
            <w:r w:rsidR="00E8290F" w:rsidRPr="00B55DE0">
              <w:rPr>
                <w:rFonts w:ascii="Arial" w:hAnsi="Arial" w:cs="Arial"/>
                <w:sz w:val="24"/>
                <w:szCs w:val="24"/>
                <w:lang w:val="el-GR"/>
              </w:rPr>
              <w:t xml:space="preserve"> και </w:t>
            </w:r>
            <w:r w:rsidR="00B55DE0" w:rsidRPr="00B55DE0">
              <w:rPr>
                <w:rFonts w:ascii="Arial" w:hAnsi="Arial" w:cs="Arial"/>
                <w:sz w:val="24"/>
                <w:szCs w:val="24"/>
                <w:lang w:val="el-GR"/>
              </w:rPr>
              <w:t>24</w:t>
            </w:r>
            <w:r w:rsidR="003F5C70">
              <w:rPr>
                <w:rFonts w:ascii="Arial" w:hAnsi="Arial" w:cs="Arial"/>
                <w:sz w:val="24"/>
                <w:szCs w:val="24"/>
                <w:lang w:val="el-GR"/>
              </w:rPr>
              <w:t xml:space="preserve"> της </w:t>
            </w:r>
            <w:r w:rsidR="00641ED7" w:rsidRPr="00A109FA">
              <w:rPr>
                <w:rFonts w:ascii="Arial" w:hAnsi="Arial" w:cs="Arial"/>
                <w:sz w:val="24"/>
                <w:szCs w:val="24"/>
                <w:lang w:val="el-GR"/>
              </w:rPr>
              <w:t>πράξη</w:t>
            </w:r>
            <w:r w:rsidR="003F5C70">
              <w:rPr>
                <w:rFonts w:ascii="Arial" w:hAnsi="Arial" w:cs="Arial"/>
                <w:sz w:val="24"/>
                <w:szCs w:val="24"/>
                <w:lang w:val="el-GR"/>
              </w:rPr>
              <w:t>ς</w:t>
            </w:r>
            <w:r w:rsidR="00641ED7" w:rsidRPr="00A109FA">
              <w:rPr>
                <w:rFonts w:ascii="Arial" w:hAnsi="Arial" w:cs="Arial"/>
                <w:sz w:val="24"/>
                <w:szCs w:val="24"/>
                <w:lang w:val="el-GR"/>
              </w:rPr>
              <w:t xml:space="preserve"> της Ευρωπαϊκής Ένωσης με τίτλο </w:t>
            </w:r>
            <w:bookmarkStart w:id="1" w:name="_Hlk33781520"/>
            <w:r w:rsidR="008D42BB" w:rsidRPr="008D42BB">
              <w:rPr>
                <w:rFonts w:ascii="Arial" w:hAnsi="Arial" w:cs="Arial"/>
                <w:sz w:val="24"/>
                <w:szCs w:val="24"/>
                <w:lang w:val="el-GR"/>
              </w:rPr>
              <w:t>«Οδηγία 2014/92/Ε</w:t>
            </w:r>
            <w:r w:rsidR="008D42BB" w:rsidRPr="008D42BB">
              <w:rPr>
                <w:rFonts w:ascii="Arial" w:hAnsi="Arial" w:cs="Arial"/>
                <w:sz w:val="24"/>
                <w:szCs w:val="24"/>
              </w:rPr>
              <w:t>E</w:t>
            </w:r>
            <w:r w:rsidR="008D42BB" w:rsidRPr="008D42BB">
              <w:rPr>
                <w:rFonts w:ascii="Arial" w:hAnsi="Arial" w:cs="Arial"/>
                <w:sz w:val="24"/>
                <w:szCs w:val="24"/>
                <w:lang w:val="el-GR"/>
              </w:rPr>
              <w:t xml:space="preserve"> του Ευρωπαϊκού Κοινοβουλίου και του Συμβουλίου, της 23ης Ιουλίου 2014 για τη συγκρισιμότητα των τελών που συνδέονται με λογαριασμούς πληρωμών, την αλλαγή λογαριασμού πληρωμών και την πρόσβαση σε λογαριασμούς πληρωμών με βασικά χαρακτηριστικά»</w:t>
            </w:r>
            <w:bookmarkEnd w:id="1"/>
            <w:r w:rsidRPr="00B84A20">
              <w:rPr>
                <w:rFonts w:ascii="Arial" w:hAnsi="Arial" w:cs="Arial"/>
                <w:sz w:val="24"/>
                <w:szCs w:val="24"/>
                <w:lang w:val="el-GR"/>
              </w:rPr>
              <w:t xml:space="preserve"> </w:t>
            </w:r>
            <w:r>
              <w:rPr>
                <w:rFonts w:ascii="Arial" w:hAnsi="Arial" w:cs="Arial"/>
                <w:sz w:val="24"/>
                <w:szCs w:val="24"/>
                <w:lang w:val="el-GR"/>
              </w:rPr>
              <w:t>και</w:t>
            </w:r>
          </w:p>
          <w:p w14:paraId="39CBB71E" w14:textId="77777777" w:rsidR="004A178F" w:rsidRDefault="004A178F" w:rsidP="00B84A20">
            <w:pPr>
              <w:spacing w:line="360" w:lineRule="auto"/>
              <w:ind w:left="170"/>
              <w:jc w:val="both"/>
              <w:rPr>
                <w:rFonts w:ascii="Arial" w:hAnsi="Arial" w:cs="Arial"/>
                <w:sz w:val="24"/>
                <w:szCs w:val="24"/>
                <w:lang w:val="el-GR"/>
              </w:rPr>
            </w:pPr>
          </w:p>
          <w:p w14:paraId="73FF3F08" w14:textId="0D45B3DF" w:rsidR="00B84A20" w:rsidRPr="00B84A20" w:rsidRDefault="00B84A20" w:rsidP="00A857EA">
            <w:pPr>
              <w:spacing w:line="360" w:lineRule="auto"/>
              <w:ind w:left="170"/>
              <w:jc w:val="both"/>
              <w:rPr>
                <w:rFonts w:ascii="Arial" w:hAnsi="Arial" w:cs="Arial"/>
                <w:sz w:val="24"/>
                <w:szCs w:val="24"/>
                <w:lang w:val="el-GR"/>
              </w:rPr>
            </w:pPr>
            <w:r>
              <w:rPr>
                <w:rFonts w:ascii="Arial" w:hAnsi="Arial" w:cs="Arial"/>
                <w:sz w:val="24"/>
                <w:szCs w:val="24"/>
                <w:lang w:val="el-GR"/>
              </w:rPr>
              <w:t>(β) για αποτελεσματικότερη εφαρμογή του Νόμου</w:t>
            </w:r>
          </w:p>
        </w:tc>
      </w:tr>
      <w:tr w:rsidR="006513E9" w:rsidRPr="00134520" w14:paraId="50BD653F" w14:textId="77777777" w:rsidTr="00B01A1E">
        <w:tc>
          <w:tcPr>
            <w:tcW w:w="1843" w:type="dxa"/>
            <w:gridSpan w:val="3"/>
          </w:tcPr>
          <w:p w14:paraId="0F7AD026" w14:textId="77777777" w:rsidR="006513E9" w:rsidRPr="00A109FA" w:rsidRDefault="006513E9" w:rsidP="00A109FA">
            <w:pPr>
              <w:spacing w:line="360" w:lineRule="auto"/>
              <w:ind w:right="-57"/>
              <w:jc w:val="both"/>
              <w:rPr>
                <w:rFonts w:ascii="Arial" w:hAnsi="Arial" w:cs="Arial"/>
                <w:sz w:val="24"/>
                <w:szCs w:val="24"/>
                <w:lang w:val="el-GR"/>
              </w:rPr>
            </w:pPr>
          </w:p>
        </w:tc>
        <w:tc>
          <w:tcPr>
            <w:tcW w:w="750" w:type="dxa"/>
          </w:tcPr>
          <w:p w14:paraId="758FF4C1" w14:textId="77777777" w:rsidR="006513E9" w:rsidRPr="00A109FA" w:rsidRDefault="006513E9" w:rsidP="00A109FA">
            <w:pPr>
              <w:spacing w:line="360" w:lineRule="auto"/>
              <w:ind w:left="170"/>
              <w:jc w:val="right"/>
              <w:rPr>
                <w:rFonts w:ascii="Arial" w:hAnsi="Arial" w:cs="Arial"/>
                <w:sz w:val="24"/>
                <w:szCs w:val="24"/>
                <w:lang w:val="el-GR"/>
              </w:rPr>
            </w:pPr>
          </w:p>
        </w:tc>
        <w:tc>
          <w:tcPr>
            <w:tcW w:w="6487" w:type="dxa"/>
            <w:gridSpan w:val="2"/>
          </w:tcPr>
          <w:p w14:paraId="2EAD7DBC" w14:textId="77777777" w:rsidR="006513E9" w:rsidRPr="00A109FA" w:rsidRDefault="006513E9" w:rsidP="00A109FA">
            <w:pPr>
              <w:spacing w:line="360" w:lineRule="auto"/>
              <w:ind w:left="170"/>
              <w:jc w:val="both"/>
              <w:rPr>
                <w:rFonts w:ascii="Arial" w:hAnsi="Arial" w:cs="Arial"/>
                <w:sz w:val="24"/>
                <w:szCs w:val="24"/>
                <w:lang w:val="el-GR"/>
              </w:rPr>
            </w:pPr>
          </w:p>
        </w:tc>
      </w:tr>
      <w:tr w:rsidR="006513E9" w:rsidRPr="00134520" w14:paraId="73336484" w14:textId="77777777" w:rsidTr="008D42BB">
        <w:tc>
          <w:tcPr>
            <w:tcW w:w="1843" w:type="dxa"/>
            <w:gridSpan w:val="3"/>
          </w:tcPr>
          <w:p w14:paraId="0CE1F476" w14:textId="77777777" w:rsidR="006513E9" w:rsidRPr="00A109FA" w:rsidRDefault="006513E9" w:rsidP="00A109FA">
            <w:pPr>
              <w:spacing w:line="360" w:lineRule="auto"/>
              <w:ind w:right="-57"/>
              <w:jc w:val="both"/>
              <w:rPr>
                <w:rFonts w:ascii="Arial" w:hAnsi="Arial" w:cs="Arial"/>
                <w:sz w:val="24"/>
                <w:szCs w:val="24"/>
                <w:lang w:val="el-GR"/>
              </w:rPr>
            </w:pPr>
          </w:p>
        </w:tc>
        <w:tc>
          <w:tcPr>
            <w:tcW w:w="7237" w:type="dxa"/>
            <w:gridSpan w:val="3"/>
          </w:tcPr>
          <w:p w14:paraId="0AB83991" w14:textId="09D2BC1D" w:rsidR="006513E9" w:rsidRPr="00A109FA" w:rsidRDefault="003B5F73" w:rsidP="00A109FA">
            <w:pPr>
              <w:spacing w:line="360" w:lineRule="auto"/>
              <w:ind w:left="170"/>
              <w:jc w:val="both"/>
              <w:rPr>
                <w:rFonts w:ascii="Arial" w:hAnsi="Arial" w:cs="Arial"/>
                <w:sz w:val="24"/>
                <w:szCs w:val="24"/>
                <w:lang w:val="el-GR"/>
              </w:rPr>
            </w:pPr>
            <w:r w:rsidRPr="00A109FA">
              <w:rPr>
                <w:rFonts w:ascii="Arial" w:hAnsi="Arial" w:cs="Arial"/>
                <w:sz w:val="24"/>
                <w:szCs w:val="24"/>
                <w:lang w:val="el-GR"/>
              </w:rPr>
              <w:t>η</w:t>
            </w:r>
            <w:r w:rsidR="006513E9" w:rsidRPr="00A109FA">
              <w:rPr>
                <w:rFonts w:ascii="Arial" w:hAnsi="Arial" w:cs="Arial"/>
                <w:sz w:val="24"/>
                <w:szCs w:val="24"/>
                <w:lang w:val="el-GR"/>
              </w:rPr>
              <w:t xml:space="preserve"> Βουλή των Αντιπροσώπων ψηφίζει ως ακολούθως:</w:t>
            </w:r>
          </w:p>
          <w:p w14:paraId="536C0CC9" w14:textId="68A12FEB" w:rsidR="003B5F73" w:rsidRPr="00A109FA" w:rsidRDefault="003B5F73" w:rsidP="00A109FA">
            <w:pPr>
              <w:spacing w:line="360" w:lineRule="auto"/>
              <w:ind w:left="170"/>
              <w:jc w:val="both"/>
              <w:rPr>
                <w:rFonts w:ascii="Arial" w:hAnsi="Arial" w:cs="Arial"/>
                <w:sz w:val="24"/>
                <w:szCs w:val="24"/>
                <w:lang w:val="el-GR"/>
              </w:rPr>
            </w:pPr>
          </w:p>
        </w:tc>
      </w:tr>
      <w:tr w:rsidR="00A857EA" w:rsidRPr="00134520" w14:paraId="34551EAF" w14:textId="77777777" w:rsidTr="00595DFC">
        <w:tc>
          <w:tcPr>
            <w:tcW w:w="1843" w:type="dxa"/>
            <w:gridSpan w:val="3"/>
          </w:tcPr>
          <w:p w14:paraId="15A41291" w14:textId="77777777" w:rsidR="00A857EA" w:rsidRPr="00A109FA" w:rsidRDefault="00A857EA" w:rsidP="00A109FA">
            <w:pPr>
              <w:spacing w:line="360" w:lineRule="auto"/>
              <w:ind w:right="-57"/>
              <w:jc w:val="both"/>
              <w:rPr>
                <w:rFonts w:ascii="Arial" w:hAnsi="Arial" w:cs="Arial"/>
                <w:lang w:val="el-GR"/>
              </w:rPr>
            </w:pPr>
            <w:r w:rsidRPr="00A109FA">
              <w:rPr>
                <w:rFonts w:ascii="Arial" w:hAnsi="Arial" w:cs="Arial"/>
                <w:lang w:val="el-GR"/>
              </w:rPr>
              <w:t>Συνοπτικός τίτλος.</w:t>
            </w:r>
          </w:p>
          <w:p w14:paraId="0DD14D7C" w14:textId="77777777" w:rsidR="00A857EA" w:rsidRPr="00A109FA" w:rsidRDefault="00A857EA" w:rsidP="00A109FA">
            <w:pPr>
              <w:spacing w:line="360" w:lineRule="auto"/>
              <w:ind w:right="-57"/>
              <w:rPr>
                <w:rFonts w:ascii="Arial" w:hAnsi="Arial" w:cs="Arial"/>
                <w:lang w:val="el-GR"/>
              </w:rPr>
            </w:pPr>
          </w:p>
          <w:p w14:paraId="7F5D946D" w14:textId="4E23C051" w:rsidR="00A857EA" w:rsidRPr="00B01A1E" w:rsidRDefault="00A857EA" w:rsidP="008D42BB">
            <w:pPr>
              <w:jc w:val="right"/>
              <w:rPr>
                <w:rFonts w:ascii="Arial" w:hAnsi="Arial" w:cs="Arial"/>
                <w:lang w:val="el-GR"/>
              </w:rPr>
            </w:pPr>
            <w:r w:rsidRPr="008D42BB">
              <w:rPr>
                <w:rFonts w:ascii="Arial" w:hAnsi="Arial" w:cs="Arial"/>
                <w:lang w:val="el-GR"/>
              </w:rPr>
              <w:t>64(</w:t>
            </w:r>
            <w:r w:rsidRPr="00A72908">
              <w:rPr>
                <w:rFonts w:ascii="Arial" w:hAnsi="Arial" w:cs="Arial"/>
              </w:rPr>
              <w:t>I</w:t>
            </w:r>
            <w:r w:rsidRPr="008D42BB">
              <w:rPr>
                <w:rFonts w:ascii="Arial" w:hAnsi="Arial" w:cs="Arial"/>
                <w:lang w:val="el-GR"/>
              </w:rPr>
              <w:t>)/2017</w:t>
            </w:r>
          </w:p>
          <w:p w14:paraId="51964626" w14:textId="77777777" w:rsidR="00A857EA" w:rsidRPr="00B01A1E" w:rsidRDefault="00A857EA" w:rsidP="005E4DAB">
            <w:pPr>
              <w:rPr>
                <w:rFonts w:ascii="Arial" w:hAnsi="Arial" w:cs="Arial"/>
                <w:lang w:val="el-GR"/>
              </w:rPr>
            </w:pPr>
          </w:p>
          <w:p w14:paraId="6C711DA3" w14:textId="77777777" w:rsidR="00A857EA" w:rsidRPr="00B01A1E" w:rsidRDefault="00A857EA" w:rsidP="005E4DAB">
            <w:pPr>
              <w:rPr>
                <w:rFonts w:ascii="Arial" w:hAnsi="Arial" w:cs="Arial"/>
                <w:lang w:val="el-GR"/>
              </w:rPr>
            </w:pPr>
          </w:p>
          <w:p w14:paraId="4D56387C" w14:textId="77777777" w:rsidR="00A857EA" w:rsidRPr="00B01A1E" w:rsidRDefault="00A857EA" w:rsidP="005E4DAB">
            <w:pPr>
              <w:rPr>
                <w:rFonts w:ascii="Arial" w:hAnsi="Arial" w:cs="Arial"/>
                <w:lang w:val="el-GR"/>
              </w:rPr>
            </w:pPr>
          </w:p>
          <w:p w14:paraId="4AF7419B" w14:textId="77777777" w:rsidR="00A857EA" w:rsidRPr="00B01A1E" w:rsidRDefault="00A857EA" w:rsidP="005E4DAB">
            <w:pPr>
              <w:rPr>
                <w:rFonts w:ascii="Arial" w:hAnsi="Arial" w:cs="Arial"/>
                <w:lang w:val="el-GR"/>
              </w:rPr>
            </w:pPr>
          </w:p>
          <w:p w14:paraId="3A0AFC0B" w14:textId="77777777" w:rsidR="00A857EA" w:rsidRPr="00B01A1E" w:rsidRDefault="00A857EA" w:rsidP="005E4DAB">
            <w:pPr>
              <w:rPr>
                <w:rFonts w:ascii="Arial" w:hAnsi="Arial" w:cs="Arial"/>
                <w:lang w:val="el-GR"/>
              </w:rPr>
            </w:pPr>
          </w:p>
          <w:p w14:paraId="490DE161" w14:textId="77777777" w:rsidR="00A857EA" w:rsidRPr="00B01A1E" w:rsidRDefault="00A857EA" w:rsidP="005E4DAB">
            <w:pPr>
              <w:rPr>
                <w:rFonts w:ascii="Arial" w:hAnsi="Arial" w:cs="Arial"/>
                <w:lang w:val="el-GR"/>
              </w:rPr>
            </w:pPr>
          </w:p>
          <w:p w14:paraId="7F752866" w14:textId="77777777" w:rsidR="00A857EA" w:rsidRPr="00B01A1E" w:rsidRDefault="00A857EA" w:rsidP="005E4DAB">
            <w:pPr>
              <w:rPr>
                <w:rFonts w:ascii="Arial" w:hAnsi="Arial" w:cs="Arial"/>
                <w:lang w:val="el-GR"/>
              </w:rPr>
            </w:pPr>
          </w:p>
          <w:p w14:paraId="10222974" w14:textId="77777777" w:rsidR="00A857EA" w:rsidRPr="00B01A1E" w:rsidRDefault="00A857EA" w:rsidP="005E4DAB">
            <w:pPr>
              <w:rPr>
                <w:rFonts w:ascii="Arial" w:hAnsi="Arial" w:cs="Arial"/>
                <w:lang w:val="el-GR"/>
              </w:rPr>
            </w:pPr>
          </w:p>
          <w:p w14:paraId="64E0013C" w14:textId="77777777" w:rsidR="00A857EA" w:rsidRPr="00B01A1E" w:rsidRDefault="00A857EA" w:rsidP="005E4DAB">
            <w:pPr>
              <w:rPr>
                <w:rFonts w:ascii="Arial" w:hAnsi="Arial" w:cs="Arial"/>
                <w:lang w:val="el-GR"/>
              </w:rPr>
            </w:pPr>
          </w:p>
          <w:p w14:paraId="06006758" w14:textId="77777777" w:rsidR="00A857EA" w:rsidRPr="00B01A1E" w:rsidRDefault="00A857EA" w:rsidP="005E4DAB">
            <w:pPr>
              <w:rPr>
                <w:rFonts w:ascii="Arial" w:hAnsi="Arial" w:cs="Arial"/>
                <w:lang w:val="el-GR"/>
              </w:rPr>
            </w:pPr>
          </w:p>
          <w:p w14:paraId="27316179" w14:textId="77777777" w:rsidR="00A857EA" w:rsidRPr="00B01A1E" w:rsidRDefault="00A857EA" w:rsidP="005E4DAB">
            <w:pPr>
              <w:rPr>
                <w:rFonts w:ascii="Arial" w:hAnsi="Arial" w:cs="Arial"/>
                <w:lang w:val="el-GR"/>
              </w:rPr>
            </w:pPr>
          </w:p>
          <w:p w14:paraId="45EDADF6" w14:textId="77777777" w:rsidR="00A857EA" w:rsidRDefault="00A857EA" w:rsidP="00364921">
            <w:pPr>
              <w:rPr>
                <w:rFonts w:ascii="Arial" w:hAnsi="Arial" w:cs="Arial"/>
                <w:lang w:val="el-GR"/>
              </w:rPr>
            </w:pPr>
          </w:p>
          <w:p w14:paraId="5313D6DC" w14:textId="77777777" w:rsidR="00A857EA" w:rsidRDefault="00A857EA" w:rsidP="00364921">
            <w:pPr>
              <w:rPr>
                <w:rFonts w:ascii="Arial" w:hAnsi="Arial" w:cs="Arial"/>
                <w:lang w:val="el-GR"/>
              </w:rPr>
            </w:pPr>
          </w:p>
          <w:p w14:paraId="5E840453" w14:textId="5138208E" w:rsidR="00A857EA" w:rsidRPr="00956B7F" w:rsidRDefault="00A857EA" w:rsidP="00A857EA">
            <w:pPr>
              <w:rPr>
                <w:rFonts w:ascii="Arial" w:hAnsi="Arial" w:cs="Arial"/>
                <w:lang w:val="el-GR"/>
              </w:rPr>
            </w:pPr>
          </w:p>
        </w:tc>
        <w:tc>
          <w:tcPr>
            <w:tcW w:w="7237" w:type="dxa"/>
            <w:gridSpan w:val="3"/>
          </w:tcPr>
          <w:p w14:paraId="5E887749" w14:textId="3A2C3A34" w:rsidR="00A857EA" w:rsidRPr="00A857EA" w:rsidRDefault="00A857EA" w:rsidP="00A857EA">
            <w:pPr>
              <w:spacing w:line="360" w:lineRule="auto"/>
              <w:jc w:val="both"/>
              <w:rPr>
                <w:rFonts w:ascii="Arial" w:hAnsi="Arial" w:cs="Arial"/>
                <w:lang w:val="el-GR"/>
              </w:rPr>
            </w:pPr>
            <w:r>
              <w:rPr>
                <w:rFonts w:ascii="Arial" w:hAnsi="Arial" w:cs="Arial"/>
                <w:sz w:val="24"/>
                <w:szCs w:val="24"/>
                <w:lang w:val="el-GR"/>
              </w:rPr>
              <w:t xml:space="preserve">1. </w:t>
            </w:r>
            <w:r w:rsidRPr="00A109FA">
              <w:rPr>
                <w:rFonts w:ascii="Arial" w:hAnsi="Arial" w:cs="Arial"/>
                <w:sz w:val="24"/>
                <w:szCs w:val="24"/>
                <w:lang w:val="el-GR"/>
              </w:rPr>
              <w:t xml:space="preserve">Ο παρών Νόμος θα αναφέρεται ως ο περί </w:t>
            </w:r>
            <w:r>
              <w:rPr>
                <w:rFonts w:ascii="Arial" w:hAnsi="Arial" w:cs="Arial"/>
                <w:sz w:val="24"/>
                <w:szCs w:val="24"/>
                <w:lang w:val="el-GR"/>
              </w:rPr>
              <w:t>Συγκρισιμότητας των Τελών, της Αλλαγής Λογαριασμού Πληρωμών και της Πρόσβασης σε Λογαριασμούς Πληρωμών</w:t>
            </w:r>
            <w:r w:rsidRPr="00A109FA">
              <w:rPr>
                <w:rFonts w:ascii="Arial" w:hAnsi="Arial" w:cs="Arial"/>
                <w:sz w:val="24"/>
                <w:szCs w:val="24"/>
                <w:lang w:val="el-GR"/>
              </w:rPr>
              <w:t xml:space="preserve"> (Τροποποιητικός) Νόμος του 20</w:t>
            </w:r>
            <w:r>
              <w:rPr>
                <w:rFonts w:ascii="Arial" w:hAnsi="Arial" w:cs="Arial"/>
                <w:sz w:val="24"/>
                <w:szCs w:val="24"/>
                <w:lang w:val="el-GR"/>
              </w:rPr>
              <w:t>20</w:t>
            </w:r>
            <w:r w:rsidRPr="00A109FA">
              <w:rPr>
                <w:rFonts w:ascii="Arial" w:hAnsi="Arial" w:cs="Arial"/>
                <w:sz w:val="24"/>
                <w:szCs w:val="24"/>
                <w:lang w:val="el-GR"/>
              </w:rPr>
              <w:t xml:space="preserve"> και θα διαβάζεται μαζί με τον περί </w:t>
            </w:r>
            <w:r>
              <w:rPr>
                <w:rFonts w:ascii="Arial" w:hAnsi="Arial" w:cs="Arial"/>
                <w:sz w:val="24"/>
                <w:szCs w:val="24"/>
                <w:lang w:val="el-GR"/>
              </w:rPr>
              <w:t>Συγκρισιμότητας των Τελών, της Αλλαγής Λογαριασμού Πληρωμών και της Πρόσβασης σε Λογαριασμούς Πληρωμών</w:t>
            </w:r>
            <w:r w:rsidRPr="00A109FA">
              <w:rPr>
                <w:rFonts w:ascii="Arial" w:hAnsi="Arial" w:cs="Arial"/>
                <w:sz w:val="24"/>
                <w:szCs w:val="24"/>
                <w:lang w:val="el-GR"/>
              </w:rPr>
              <w:t xml:space="preserve"> </w:t>
            </w:r>
            <w:r>
              <w:rPr>
                <w:rFonts w:ascii="Arial" w:hAnsi="Arial" w:cs="Arial"/>
                <w:sz w:val="24"/>
                <w:szCs w:val="24"/>
                <w:lang w:val="el-GR"/>
              </w:rPr>
              <w:t xml:space="preserve">Νόμο του </w:t>
            </w:r>
            <w:r w:rsidRPr="00A109FA">
              <w:rPr>
                <w:rFonts w:ascii="Arial" w:hAnsi="Arial" w:cs="Arial"/>
                <w:sz w:val="24"/>
                <w:szCs w:val="24"/>
                <w:lang w:val="el-GR"/>
              </w:rPr>
              <w:t>201</w:t>
            </w:r>
            <w:r>
              <w:rPr>
                <w:rFonts w:ascii="Arial" w:hAnsi="Arial" w:cs="Arial"/>
                <w:sz w:val="24"/>
                <w:szCs w:val="24"/>
                <w:lang w:val="el-GR"/>
              </w:rPr>
              <w:t>7</w:t>
            </w:r>
            <w:r w:rsidRPr="00A109FA">
              <w:rPr>
                <w:rFonts w:ascii="Arial" w:hAnsi="Arial" w:cs="Arial"/>
                <w:sz w:val="24"/>
                <w:szCs w:val="24"/>
                <w:lang w:val="el-GR"/>
              </w:rPr>
              <w:t xml:space="preserve"> (που στο εξής θα αναφέρεται ως «ο βασικός νόμος») και ο βασικός νόμος και ο παρών Νόμος θα αναφέρονται μαζί ως οι </w:t>
            </w:r>
            <w:r>
              <w:rPr>
                <w:rFonts w:ascii="Arial" w:hAnsi="Arial" w:cs="Arial"/>
                <w:sz w:val="24"/>
                <w:szCs w:val="24"/>
                <w:lang w:val="el-GR"/>
              </w:rPr>
              <w:t>περί Συγκρισιμότητας των Τελών, της Αλλαγής Λογαριασμού Πληρωμών και της Πρόσβασης σε Λογαριασμούς Πληρωμών</w:t>
            </w:r>
            <w:r w:rsidRPr="00A109FA">
              <w:rPr>
                <w:rFonts w:ascii="Arial" w:hAnsi="Arial" w:cs="Arial"/>
                <w:sz w:val="24"/>
                <w:szCs w:val="24"/>
                <w:lang w:val="el-GR"/>
              </w:rPr>
              <w:t xml:space="preserve"> Νόμο</w:t>
            </w:r>
            <w:r>
              <w:rPr>
                <w:rFonts w:ascii="Arial" w:hAnsi="Arial" w:cs="Arial"/>
                <w:sz w:val="24"/>
                <w:szCs w:val="24"/>
                <w:lang w:val="el-GR"/>
              </w:rPr>
              <w:t>ι</w:t>
            </w:r>
            <w:r w:rsidRPr="00A109FA">
              <w:rPr>
                <w:rFonts w:ascii="Arial" w:hAnsi="Arial" w:cs="Arial"/>
                <w:sz w:val="24"/>
                <w:szCs w:val="24"/>
                <w:lang w:val="el-GR"/>
              </w:rPr>
              <w:t xml:space="preserve"> του 201</w:t>
            </w:r>
            <w:r>
              <w:rPr>
                <w:rFonts w:ascii="Arial" w:hAnsi="Arial" w:cs="Arial"/>
                <w:sz w:val="24"/>
                <w:szCs w:val="24"/>
                <w:lang w:val="el-GR"/>
              </w:rPr>
              <w:t>7</w:t>
            </w:r>
            <w:r w:rsidRPr="00A109FA">
              <w:rPr>
                <w:rFonts w:ascii="Arial" w:hAnsi="Arial" w:cs="Arial"/>
                <w:sz w:val="24"/>
                <w:szCs w:val="24"/>
                <w:lang w:val="el-GR"/>
              </w:rPr>
              <w:t xml:space="preserve"> </w:t>
            </w:r>
            <w:r>
              <w:rPr>
                <w:rFonts w:ascii="Arial" w:hAnsi="Arial" w:cs="Arial"/>
                <w:sz w:val="24"/>
                <w:szCs w:val="24"/>
                <w:lang w:val="el-GR"/>
              </w:rPr>
              <w:t>και</w:t>
            </w:r>
            <w:r w:rsidRPr="00A109FA">
              <w:rPr>
                <w:rFonts w:ascii="Arial" w:hAnsi="Arial" w:cs="Arial"/>
                <w:sz w:val="24"/>
                <w:szCs w:val="24"/>
                <w:lang w:val="el-GR"/>
              </w:rPr>
              <w:t xml:space="preserve"> 20</w:t>
            </w:r>
            <w:r>
              <w:rPr>
                <w:rFonts w:ascii="Arial" w:hAnsi="Arial" w:cs="Arial"/>
                <w:sz w:val="24"/>
                <w:szCs w:val="24"/>
                <w:lang w:val="el-GR"/>
              </w:rPr>
              <w:t xml:space="preserve">20.                                                                                      </w:t>
            </w:r>
          </w:p>
        </w:tc>
      </w:tr>
      <w:tr w:rsidR="00A857EA" w:rsidRPr="00134520" w14:paraId="2B7D0CB2" w14:textId="77777777" w:rsidTr="000B2365">
        <w:tc>
          <w:tcPr>
            <w:tcW w:w="1843" w:type="dxa"/>
            <w:gridSpan w:val="3"/>
          </w:tcPr>
          <w:p w14:paraId="1D21786F" w14:textId="77777777" w:rsidR="00A857EA" w:rsidRPr="00A109FA" w:rsidRDefault="00A857EA" w:rsidP="00A109FA">
            <w:pPr>
              <w:spacing w:line="360" w:lineRule="auto"/>
              <w:ind w:right="-57"/>
              <w:jc w:val="both"/>
              <w:rPr>
                <w:rFonts w:ascii="Arial" w:hAnsi="Arial" w:cs="Arial"/>
                <w:lang w:val="el-GR"/>
              </w:rPr>
            </w:pPr>
          </w:p>
        </w:tc>
        <w:tc>
          <w:tcPr>
            <w:tcW w:w="7237" w:type="dxa"/>
            <w:gridSpan w:val="3"/>
          </w:tcPr>
          <w:p w14:paraId="6CD7BD10" w14:textId="77777777" w:rsidR="00A857EA" w:rsidRPr="00A109FA" w:rsidRDefault="00A857EA" w:rsidP="000E0C57">
            <w:pPr>
              <w:spacing w:line="360" w:lineRule="auto"/>
              <w:jc w:val="both"/>
              <w:rPr>
                <w:rFonts w:ascii="Arial" w:hAnsi="Arial" w:cs="Arial"/>
                <w:sz w:val="24"/>
                <w:szCs w:val="24"/>
                <w:lang w:val="el-GR"/>
              </w:rPr>
            </w:pPr>
          </w:p>
        </w:tc>
      </w:tr>
      <w:tr w:rsidR="00A857EA" w:rsidRPr="00134520" w14:paraId="48C20D87" w14:textId="77777777" w:rsidTr="00FF5B4F">
        <w:trPr>
          <w:trHeight w:val="446"/>
        </w:trPr>
        <w:tc>
          <w:tcPr>
            <w:tcW w:w="1843" w:type="dxa"/>
            <w:gridSpan w:val="3"/>
          </w:tcPr>
          <w:p w14:paraId="59B30E70" w14:textId="77777777" w:rsidR="00A857EA" w:rsidRDefault="00A857EA" w:rsidP="00540647">
            <w:pPr>
              <w:spacing w:line="360" w:lineRule="auto"/>
              <w:rPr>
                <w:rFonts w:ascii="Arial" w:hAnsi="Arial" w:cs="Arial"/>
                <w:lang w:val="el-GR"/>
              </w:rPr>
            </w:pPr>
            <w:r w:rsidRPr="00A109FA">
              <w:rPr>
                <w:rFonts w:ascii="Arial" w:hAnsi="Arial" w:cs="Arial"/>
                <w:lang w:val="el-GR"/>
              </w:rPr>
              <w:t>Τροποποίηση του</w:t>
            </w:r>
            <w:r>
              <w:rPr>
                <w:rFonts w:ascii="Arial" w:hAnsi="Arial" w:cs="Arial"/>
                <w:lang w:val="el-GR"/>
              </w:rPr>
              <w:t xml:space="preserve"> </w:t>
            </w:r>
            <w:r w:rsidRPr="00A109FA">
              <w:rPr>
                <w:rFonts w:ascii="Arial" w:hAnsi="Arial" w:cs="Arial"/>
                <w:lang w:val="el-GR"/>
              </w:rPr>
              <w:t xml:space="preserve">άρθρου </w:t>
            </w:r>
            <w:r>
              <w:rPr>
                <w:rFonts w:ascii="Arial" w:hAnsi="Arial" w:cs="Arial"/>
                <w:lang w:val="el-GR"/>
              </w:rPr>
              <w:t>2</w:t>
            </w:r>
            <w:r w:rsidRPr="00A109FA">
              <w:rPr>
                <w:rFonts w:ascii="Arial" w:hAnsi="Arial" w:cs="Arial"/>
                <w:lang w:val="el-GR"/>
              </w:rPr>
              <w:t xml:space="preserve"> του βασικού νόμου</w:t>
            </w:r>
          </w:p>
          <w:p w14:paraId="40870062" w14:textId="25DD4472" w:rsidR="00A857EA" w:rsidRPr="00A109FA" w:rsidRDefault="00A857EA" w:rsidP="00A109FA">
            <w:pPr>
              <w:spacing w:line="360" w:lineRule="auto"/>
              <w:ind w:right="-57"/>
              <w:jc w:val="both"/>
              <w:rPr>
                <w:rFonts w:ascii="Arial" w:hAnsi="Arial" w:cs="Arial"/>
                <w:lang w:val="el-GR"/>
              </w:rPr>
            </w:pPr>
          </w:p>
        </w:tc>
        <w:tc>
          <w:tcPr>
            <w:tcW w:w="7237" w:type="dxa"/>
            <w:gridSpan w:val="3"/>
          </w:tcPr>
          <w:p w14:paraId="5D9C1AEE" w14:textId="64957E25" w:rsidR="00A857EA" w:rsidRPr="00A109FA" w:rsidRDefault="00A857EA" w:rsidP="00A109FA">
            <w:pPr>
              <w:spacing w:line="360" w:lineRule="auto"/>
              <w:jc w:val="both"/>
              <w:rPr>
                <w:rFonts w:ascii="Arial" w:hAnsi="Arial" w:cs="Arial"/>
                <w:sz w:val="24"/>
                <w:szCs w:val="24"/>
                <w:lang w:val="el-GR"/>
              </w:rPr>
            </w:pPr>
            <w:r>
              <w:rPr>
                <w:rFonts w:ascii="Arial" w:hAnsi="Arial" w:cs="Arial"/>
                <w:sz w:val="24"/>
                <w:szCs w:val="24"/>
                <w:lang w:val="el-GR"/>
              </w:rPr>
              <w:t>2. Το εδάφιο (1) του άρθρου 2 του βασικού νόμου τροποποιείται με την προσθήκη, στην κατάλληλη αλφαβητική σειρά, του ακόλουθου νέου όρου και ορισμού του</w:t>
            </w:r>
            <w:r w:rsidRPr="00B01A1E">
              <w:rPr>
                <w:rFonts w:ascii="Arial" w:hAnsi="Arial" w:cs="Arial"/>
                <w:sz w:val="24"/>
                <w:szCs w:val="24"/>
                <w:lang w:val="el-GR"/>
              </w:rPr>
              <w:t>:</w:t>
            </w:r>
            <w:r w:rsidRPr="00A109FA">
              <w:rPr>
                <w:rFonts w:ascii="Arial" w:hAnsi="Arial" w:cs="Arial"/>
                <w:sz w:val="24"/>
                <w:szCs w:val="24"/>
                <w:lang w:val="el-GR"/>
              </w:rPr>
              <w:t xml:space="preserve"> </w:t>
            </w:r>
          </w:p>
        </w:tc>
      </w:tr>
      <w:tr w:rsidR="00A857EA" w:rsidRPr="00134520" w14:paraId="2D31E5B8" w14:textId="77777777" w:rsidTr="00A857EA">
        <w:tc>
          <w:tcPr>
            <w:tcW w:w="993" w:type="dxa"/>
            <w:gridSpan w:val="2"/>
          </w:tcPr>
          <w:p w14:paraId="4F9FF259" w14:textId="3782F9B5" w:rsidR="00A857EA" w:rsidRPr="00A109FA" w:rsidRDefault="00A857EA" w:rsidP="00A857EA">
            <w:pPr>
              <w:spacing w:line="360" w:lineRule="auto"/>
              <w:ind w:right="-57"/>
              <w:jc w:val="right"/>
              <w:rPr>
                <w:rFonts w:ascii="Arial" w:hAnsi="Arial" w:cs="Arial"/>
                <w:lang w:val="el-GR"/>
              </w:rPr>
            </w:pPr>
          </w:p>
        </w:tc>
        <w:tc>
          <w:tcPr>
            <w:tcW w:w="1600" w:type="dxa"/>
            <w:gridSpan w:val="2"/>
          </w:tcPr>
          <w:p w14:paraId="13840E7E" w14:textId="77777777" w:rsidR="00A857EA" w:rsidRDefault="00A857EA" w:rsidP="00A857EA">
            <w:pPr>
              <w:spacing w:line="360" w:lineRule="auto"/>
              <w:ind w:right="-57"/>
              <w:jc w:val="right"/>
              <w:rPr>
                <w:rFonts w:ascii="Arial" w:hAnsi="Arial" w:cs="Arial"/>
                <w:lang w:val="el-GR"/>
              </w:rPr>
            </w:pPr>
          </w:p>
          <w:p w14:paraId="36B256FE" w14:textId="03EC18E7" w:rsidR="00A857EA" w:rsidRPr="00570CE1" w:rsidRDefault="00A857EA" w:rsidP="00A857EA">
            <w:pPr>
              <w:spacing w:line="360" w:lineRule="auto"/>
              <w:ind w:right="-57"/>
              <w:jc w:val="right"/>
              <w:rPr>
                <w:rFonts w:ascii="Arial" w:hAnsi="Arial" w:cs="Arial"/>
                <w:lang w:val="el-GR"/>
              </w:rPr>
            </w:pPr>
            <w:r w:rsidRPr="00570CE1">
              <w:rPr>
                <w:rFonts w:ascii="Arial" w:hAnsi="Arial" w:cs="Arial"/>
                <w:lang w:val="el-GR"/>
              </w:rPr>
              <w:t>8</w:t>
            </w:r>
            <w:r>
              <w:rPr>
                <w:rFonts w:ascii="Arial" w:hAnsi="Arial" w:cs="Arial"/>
                <w:lang w:val="el-GR"/>
              </w:rPr>
              <w:t>5</w:t>
            </w:r>
            <w:r w:rsidRPr="00570CE1">
              <w:rPr>
                <w:rFonts w:ascii="Arial" w:hAnsi="Arial" w:cs="Arial"/>
                <w:lang w:val="el-GR"/>
              </w:rPr>
              <w:t>(Ι) του 2017</w:t>
            </w:r>
          </w:p>
          <w:p w14:paraId="46211899" w14:textId="77777777" w:rsidR="00A857EA" w:rsidRPr="00A109FA" w:rsidRDefault="00A857EA" w:rsidP="00A109FA">
            <w:pPr>
              <w:spacing w:line="360" w:lineRule="auto"/>
              <w:rPr>
                <w:rFonts w:ascii="Arial" w:hAnsi="Arial" w:cs="Arial"/>
                <w:sz w:val="24"/>
                <w:szCs w:val="24"/>
                <w:lang w:val="el-GR"/>
              </w:rPr>
            </w:pPr>
          </w:p>
        </w:tc>
        <w:tc>
          <w:tcPr>
            <w:tcW w:w="6487" w:type="dxa"/>
            <w:gridSpan w:val="2"/>
          </w:tcPr>
          <w:p w14:paraId="7EB97E5E" w14:textId="0A923608" w:rsidR="00A857EA" w:rsidRPr="00A109FA" w:rsidRDefault="00A857EA" w:rsidP="00A857EA">
            <w:pPr>
              <w:spacing w:line="360" w:lineRule="auto"/>
              <w:jc w:val="both"/>
              <w:rPr>
                <w:rFonts w:ascii="Arial" w:hAnsi="Arial" w:cs="Arial"/>
                <w:sz w:val="24"/>
                <w:szCs w:val="24"/>
                <w:lang w:val="el-GR"/>
              </w:rPr>
            </w:pPr>
            <w:r w:rsidRPr="00570CE1">
              <w:rPr>
                <w:rFonts w:ascii="Arial" w:hAnsi="Arial" w:cs="Arial"/>
                <w:sz w:val="24"/>
                <w:szCs w:val="24"/>
                <w:lang w:val="el-GR"/>
              </w:rPr>
              <w:t>«φορέας Εναλλακτικής Επίλυσης Διαφορών</w:t>
            </w:r>
            <w:r>
              <w:rPr>
                <w:rFonts w:ascii="Arial" w:hAnsi="Arial" w:cs="Arial"/>
                <w:sz w:val="24"/>
                <w:szCs w:val="24"/>
                <w:lang w:val="el-GR"/>
              </w:rPr>
              <w:t>» ή «φορέας</w:t>
            </w:r>
            <w:r w:rsidRPr="00570CE1">
              <w:rPr>
                <w:rFonts w:ascii="Arial" w:hAnsi="Arial" w:cs="Arial"/>
                <w:sz w:val="24"/>
                <w:szCs w:val="24"/>
                <w:lang w:val="el-GR"/>
              </w:rPr>
              <w:t xml:space="preserve"> </w:t>
            </w:r>
            <w:r w:rsidRPr="00570CE1">
              <w:rPr>
                <w:rStyle w:val="highlight"/>
                <w:rFonts w:ascii="Arial" w:hAnsi="Arial" w:cs="Arial"/>
                <w:sz w:val="24"/>
                <w:szCs w:val="24"/>
                <w:lang w:val="el-GR"/>
              </w:rPr>
              <w:t>ΕΕΔ</w:t>
            </w:r>
            <w:r w:rsidRPr="00570CE1">
              <w:rPr>
                <w:rFonts w:ascii="Arial" w:hAnsi="Arial" w:cs="Arial"/>
                <w:sz w:val="24"/>
                <w:szCs w:val="24"/>
                <w:lang w:val="el-GR"/>
              </w:rPr>
              <w:t>»</w:t>
            </w:r>
            <w:r>
              <w:rPr>
                <w:rFonts w:ascii="Arial" w:hAnsi="Arial" w:cs="Arial"/>
                <w:sz w:val="24"/>
                <w:szCs w:val="24"/>
                <w:lang w:val="el-GR"/>
              </w:rPr>
              <w:t xml:space="preserve"> έχει την έννοια </w:t>
            </w:r>
            <w:r w:rsidRPr="00A857EA">
              <w:rPr>
                <w:rFonts w:ascii="Arial" w:hAnsi="Arial" w:cs="Arial"/>
                <w:sz w:val="24"/>
                <w:szCs w:val="24"/>
                <w:lang w:val="el-GR"/>
              </w:rPr>
              <w:t xml:space="preserve">που αποδίδεται στον όρο αυτό </w:t>
            </w:r>
            <w:r>
              <w:rPr>
                <w:rFonts w:ascii="Arial" w:hAnsi="Arial" w:cs="Arial"/>
                <w:sz w:val="24"/>
                <w:szCs w:val="24"/>
                <w:lang w:val="el-GR"/>
              </w:rPr>
              <w:t>στο άρθρο 2 του περί της Εναλλακτικής Επίλυσης Καταναλωτικών Διαφορών Νόμου.</w:t>
            </w:r>
          </w:p>
        </w:tc>
      </w:tr>
      <w:tr w:rsidR="00A857EA" w:rsidRPr="00134520" w14:paraId="33BC32D9" w14:textId="77777777" w:rsidTr="00CC0F8F">
        <w:tc>
          <w:tcPr>
            <w:tcW w:w="1843" w:type="dxa"/>
            <w:gridSpan w:val="3"/>
          </w:tcPr>
          <w:p w14:paraId="1BF70361" w14:textId="77777777" w:rsidR="00A857EA" w:rsidRPr="00A109FA" w:rsidRDefault="00A857EA" w:rsidP="00A109FA">
            <w:pPr>
              <w:spacing w:line="360" w:lineRule="auto"/>
              <w:ind w:right="-57"/>
              <w:jc w:val="both"/>
              <w:rPr>
                <w:rFonts w:ascii="Arial" w:hAnsi="Arial" w:cs="Arial"/>
                <w:lang w:val="el-GR"/>
              </w:rPr>
            </w:pPr>
          </w:p>
        </w:tc>
        <w:tc>
          <w:tcPr>
            <w:tcW w:w="7237" w:type="dxa"/>
            <w:gridSpan w:val="3"/>
          </w:tcPr>
          <w:p w14:paraId="11959D32" w14:textId="77777777" w:rsidR="00A857EA" w:rsidRPr="00A109FA" w:rsidRDefault="00A857EA" w:rsidP="00A857EA">
            <w:pPr>
              <w:spacing w:line="360" w:lineRule="auto"/>
              <w:jc w:val="both"/>
              <w:rPr>
                <w:rFonts w:ascii="Arial" w:hAnsi="Arial" w:cs="Arial"/>
                <w:sz w:val="24"/>
                <w:szCs w:val="24"/>
                <w:lang w:val="el-GR"/>
              </w:rPr>
            </w:pPr>
          </w:p>
        </w:tc>
      </w:tr>
      <w:tr w:rsidR="00A857EA" w:rsidRPr="00134520" w14:paraId="3FAC2B1A" w14:textId="77777777" w:rsidTr="004A7F3B">
        <w:tc>
          <w:tcPr>
            <w:tcW w:w="1843" w:type="dxa"/>
            <w:gridSpan w:val="3"/>
          </w:tcPr>
          <w:p w14:paraId="578DD18D" w14:textId="5A6923D2" w:rsidR="00A857EA" w:rsidRPr="00A109FA" w:rsidRDefault="00A857EA" w:rsidP="00A857EA">
            <w:pPr>
              <w:spacing w:line="276" w:lineRule="auto"/>
              <w:ind w:right="-57"/>
              <w:rPr>
                <w:rFonts w:ascii="Arial" w:hAnsi="Arial" w:cs="Arial"/>
                <w:lang w:val="el-GR"/>
              </w:rPr>
            </w:pPr>
            <w:r w:rsidRPr="00A109FA">
              <w:rPr>
                <w:rFonts w:ascii="Arial" w:hAnsi="Arial" w:cs="Arial"/>
                <w:lang w:val="el-GR"/>
              </w:rPr>
              <w:t xml:space="preserve">Τροποποίηση του άρθρου </w:t>
            </w:r>
            <w:r>
              <w:rPr>
                <w:rFonts w:ascii="Arial" w:hAnsi="Arial" w:cs="Arial"/>
                <w:lang w:val="el-GR"/>
              </w:rPr>
              <w:t>17</w:t>
            </w:r>
            <w:r w:rsidRPr="00A109FA">
              <w:rPr>
                <w:rFonts w:ascii="Arial" w:hAnsi="Arial" w:cs="Arial"/>
                <w:lang w:val="el-GR"/>
              </w:rPr>
              <w:t xml:space="preserve"> του βασικού νόμου</w:t>
            </w:r>
          </w:p>
        </w:tc>
        <w:tc>
          <w:tcPr>
            <w:tcW w:w="7237" w:type="dxa"/>
            <w:gridSpan w:val="3"/>
          </w:tcPr>
          <w:p w14:paraId="664351F6" w14:textId="262F74F3" w:rsidR="00A857EA" w:rsidRPr="00A109FA" w:rsidRDefault="00A857EA" w:rsidP="00B74F09">
            <w:pPr>
              <w:spacing w:line="360" w:lineRule="auto"/>
              <w:jc w:val="both"/>
              <w:rPr>
                <w:rFonts w:ascii="Arial" w:hAnsi="Arial" w:cs="Arial"/>
                <w:sz w:val="24"/>
                <w:szCs w:val="24"/>
                <w:lang w:val="el-GR"/>
              </w:rPr>
            </w:pPr>
            <w:r>
              <w:rPr>
                <w:rFonts w:ascii="Arial" w:hAnsi="Arial" w:cs="Arial"/>
                <w:sz w:val="24"/>
                <w:szCs w:val="24"/>
                <w:lang w:val="el-GR"/>
              </w:rPr>
              <w:t xml:space="preserve">3. </w:t>
            </w:r>
            <w:r w:rsidRPr="00A109FA">
              <w:rPr>
                <w:rFonts w:ascii="Arial" w:hAnsi="Arial" w:cs="Arial"/>
                <w:sz w:val="24"/>
                <w:szCs w:val="24"/>
                <w:lang w:val="el-GR"/>
              </w:rPr>
              <w:t xml:space="preserve">Το εδάφιο </w:t>
            </w:r>
            <w:r>
              <w:rPr>
                <w:rFonts w:ascii="Arial" w:hAnsi="Arial" w:cs="Arial"/>
                <w:sz w:val="24"/>
                <w:szCs w:val="24"/>
                <w:lang w:val="el-GR"/>
              </w:rPr>
              <w:t>(13)</w:t>
            </w:r>
            <w:r w:rsidRPr="00A109FA">
              <w:rPr>
                <w:rFonts w:ascii="Arial" w:hAnsi="Arial" w:cs="Arial"/>
                <w:sz w:val="24"/>
                <w:szCs w:val="24"/>
                <w:lang w:val="el-GR"/>
              </w:rPr>
              <w:t xml:space="preserve"> του άρθρου</w:t>
            </w:r>
            <w:r>
              <w:rPr>
                <w:rFonts w:ascii="Arial" w:hAnsi="Arial" w:cs="Arial"/>
                <w:sz w:val="24"/>
                <w:szCs w:val="24"/>
                <w:lang w:val="el-GR"/>
              </w:rPr>
              <w:t xml:space="preserve"> 17</w:t>
            </w:r>
            <w:r w:rsidRPr="00A109FA">
              <w:rPr>
                <w:rFonts w:ascii="Arial" w:hAnsi="Arial" w:cs="Arial"/>
                <w:sz w:val="24"/>
                <w:szCs w:val="24"/>
                <w:lang w:val="el-GR"/>
              </w:rPr>
              <w:t xml:space="preserve"> του βασικού νόμου τροποποιείται με την αντικατάσταση της φράσης «</w:t>
            </w:r>
            <w:r w:rsidRPr="00624851">
              <w:rPr>
                <w:rFonts w:ascii="Arial" w:hAnsi="Arial" w:cs="Arial"/>
                <w:sz w:val="24"/>
                <w:szCs w:val="24"/>
                <w:lang w:val="el-GR"/>
              </w:rPr>
              <w:t>την Υπηρεσία</w:t>
            </w:r>
            <w:r>
              <w:rPr>
                <w:rFonts w:ascii="Arial" w:hAnsi="Arial" w:cs="Arial"/>
                <w:sz w:val="24"/>
                <w:szCs w:val="24"/>
                <w:lang w:val="el-GR"/>
              </w:rPr>
              <w:t xml:space="preserve"> ως τον υπεύθυνο φορέα εναλλακτικής επίλυσής των διαφορών</w:t>
            </w:r>
            <w:r w:rsidRPr="00A109FA">
              <w:rPr>
                <w:rFonts w:ascii="Arial" w:hAnsi="Arial" w:cs="Arial"/>
                <w:sz w:val="24"/>
                <w:szCs w:val="24"/>
                <w:lang w:val="el-GR"/>
              </w:rPr>
              <w:t>»</w:t>
            </w:r>
            <w:r>
              <w:rPr>
                <w:rFonts w:ascii="Arial" w:hAnsi="Arial" w:cs="Arial"/>
                <w:sz w:val="24"/>
                <w:szCs w:val="24"/>
                <w:lang w:val="el-GR"/>
              </w:rPr>
              <w:t xml:space="preserve"> </w:t>
            </w:r>
            <w:r w:rsidRPr="002D0D21">
              <w:rPr>
                <w:rFonts w:ascii="Arial" w:hAnsi="Arial" w:cs="Arial"/>
                <w:sz w:val="24"/>
                <w:szCs w:val="24"/>
                <w:lang w:val="el-GR"/>
              </w:rPr>
              <w:t xml:space="preserve">(τρίτη </w:t>
            </w:r>
            <w:r w:rsidR="00B74F09" w:rsidRPr="00B74F09">
              <w:rPr>
                <w:rFonts w:ascii="Arial" w:hAnsi="Arial" w:cs="Arial"/>
                <w:sz w:val="24"/>
                <w:szCs w:val="24"/>
                <w:lang w:val="el-GR"/>
              </w:rPr>
              <w:t xml:space="preserve">και τέταρτη </w:t>
            </w:r>
            <w:r w:rsidRPr="002D0D21">
              <w:rPr>
                <w:rFonts w:ascii="Arial" w:hAnsi="Arial" w:cs="Arial"/>
                <w:sz w:val="24"/>
                <w:szCs w:val="24"/>
                <w:lang w:val="el-GR"/>
              </w:rPr>
              <w:t>γραμμή)</w:t>
            </w:r>
            <w:r w:rsidRPr="00A109FA">
              <w:rPr>
                <w:rFonts w:ascii="Arial" w:hAnsi="Arial" w:cs="Arial"/>
                <w:sz w:val="24"/>
                <w:szCs w:val="24"/>
                <w:lang w:val="el-GR"/>
              </w:rPr>
              <w:t xml:space="preserve"> </w:t>
            </w:r>
            <w:r>
              <w:rPr>
                <w:rFonts w:ascii="Arial" w:hAnsi="Arial" w:cs="Arial"/>
                <w:sz w:val="24"/>
                <w:szCs w:val="24"/>
                <w:lang w:val="el-GR"/>
              </w:rPr>
              <w:t>με</w:t>
            </w:r>
            <w:r w:rsidRPr="00A109FA">
              <w:rPr>
                <w:rFonts w:ascii="Arial" w:hAnsi="Arial" w:cs="Arial"/>
                <w:sz w:val="24"/>
                <w:szCs w:val="24"/>
                <w:lang w:val="el-GR"/>
              </w:rPr>
              <w:t xml:space="preserve"> τη φράση «</w:t>
            </w:r>
            <w:r w:rsidR="00B74F09">
              <w:rPr>
                <w:rFonts w:ascii="Arial" w:hAnsi="Arial" w:cs="Arial"/>
                <w:sz w:val="24"/>
                <w:szCs w:val="24"/>
                <w:lang w:val="el-GR"/>
              </w:rPr>
              <w:t xml:space="preserve">στον </w:t>
            </w:r>
            <w:r w:rsidR="00B74F09" w:rsidRPr="00B74F09">
              <w:rPr>
                <w:rFonts w:ascii="Arial" w:hAnsi="Arial" w:cs="Arial"/>
                <w:sz w:val="24"/>
                <w:szCs w:val="24"/>
                <w:lang w:val="el-GR"/>
              </w:rPr>
              <w:t xml:space="preserve">αναφερόμενο στο άρθρο 25 </w:t>
            </w:r>
            <w:r>
              <w:rPr>
                <w:rFonts w:ascii="Arial" w:hAnsi="Arial" w:cs="Arial"/>
                <w:sz w:val="24"/>
                <w:szCs w:val="24"/>
                <w:lang w:val="el-GR"/>
              </w:rPr>
              <w:t>φορέα ΕΕΔ</w:t>
            </w:r>
            <w:r w:rsidRPr="00A109FA">
              <w:rPr>
                <w:rFonts w:ascii="Arial" w:hAnsi="Arial" w:cs="Arial"/>
                <w:sz w:val="24"/>
                <w:szCs w:val="24"/>
                <w:lang w:val="el-GR"/>
              </w:rPr>
              <w:t>».</w:t>
            </w:r>
          </w:p>
        </w:tc>
      </w:tr>
      <w:tr w:rsidR="00A857EA" w:rsidRPr="00134520" w14:paraId="6D636E18" w14:textId="77777777" w:rsidTr="004A7F3B">
        <w:tc>
          <w:tcPr>
            <w:tcW w:w="1843" w:type="dxa"/>
            <w:gridSpan w:val="3"/>
          </w:tcPr>
          <w:p w14:paraId="6901C57F" w14:textId="77777777" w:rsidR="00A857EA" w:rsidRPr="00A109FA" w:rsidRDefault="00A857EA" w:rsidP="00A857EA">
            <w:pPr>
              <w:spacing w:line="276" w:lineRule="auto"/>
              <w:ind w:right="-57"/>
              <w:rPr>
                <w:rFonts w:ascii="Arial" w:hAnsi="Arial" w:cs="Arial"/>
                <w:lang w:val="el-GR"/>
              </w:rPr>
            </w:pPr>
          </w:p>
        </w:tc>
        <w:tc>
          <w:tcPr>
            <w:tcW w:w="7237" w:type="dxa"/>
            <w:gridSpan w:val="3"/>
          </w:tcPr>
          <w:p w14:paraId="04027587" w14:textId="77777777" w:rsidR="00A857EA" w:rsidRPr="00A109FA" w:rsidRDefault="00A857EA" w:rsidP="00A109FA">
            <w:pPr>
              <w:spacing w:line="360" w:lineRule="auto"/>
              <w:ind w:left="170"/>
              <w:jc w:val="right"/>
              <w:rPr>
                <w:rFonts w:ascii="Arial" w:hAnsi="Arial" w:cs="Arial"/>
                <w:sz w:val="24"/>
                <w:szCs w:val="24"/>
                <w:lang w:val="el-GR"/>
              </w:rPr>
            </w:pPr>
          </w:p>
        </w:tc>
      </w:tr>
      <w:tr w:rsidR="00A857EA" w:rsidRPr="00134520" w14:paraId="5C17C19A" w14:textId="77777777" w:rsidTr="006F7DC4">
        <w:tc>
          <w:tcPr>
            <w:tcW w:w="1843" w:type="dxa"/>
            <w:gridSpan w:val="3"/>
          </w:tcPr>
          <w:p w14:paraId="094D3A81" w14:textId="08A4B018" w:rsidR="00A857EA" w:rsidRDefault="00A857EA" w:rsidP="00A857EA">
            <w:pPr>
              <w:spacing w:line="276" w:lineRule="auto"/>
              <w:ind w:right="-57"/>
              <w:rPr>
                <w:rFonts w:ascii="Arial" w:hAnsi="Arial" w:cs="Arial"/>
                <w:lang w:val="el-GR"/>
              </w:rPr>
            </w:pPr>
            <w:r w:rsidRPr="00A109FA">
              <w:rPr>
                <w:rFonts w:ascii="Arial" w:hAnsi="Arial" w:cs="Arial"/>
                <w:lang w:val="el-GR"/>
              </w:rPr>
              <w:t xml:space="preserve">Τροποποίηση του άρθρου </w:t>
            </w:r>
            <w:r>
              <w:rPr>
                <w:rFonts w:ascii="Arial" w:hAnsi="Arial" w:cs="Arial"/>
                <w:lang w:val="el-GR"/>
              </w:rPr>
              <w:t>20</w:t>
            </w:r>
            <w:r w:rsidRPr="00A109FA">
              <w:rPr>
                <w:rFonts w:ascii="Arial" w:hAnsi="Arial" w:cs="Arial"/>
                <w:lang w:val="el-GR"/>
              </w:rPr>
              <w:t xml:space="preserve"> του βασικού νόμου</w:t>
            </w:r>
          </w:p>
          <w:p w14:paraId="50B45282" w14:textId="77777777" w:rsidR="00A857EA" w:rsidRPr="00027D4B" w:rsidRDefault="00A857EA" w:rsidP="00A857EA">
            <w:pPr>
              <w:spacing w:line="276" w:lineRule="auto"/>
              <w:rPr>
                <w:rFonts w:ascii="Arial" w:hAnsi="Arial" w:cs="Arial"/>
                <w:lang w:val="el-GR"/>
              </w:rPr>
            </w:pPr>
          </w:p>
          <w:p w14:paraId="505201FA" w14:textId="77777777" w:rsidR="00A857EA" w:rsidRDefault="00A857EA" w:rsidP="00A857EA">
            <w:pPr>
              <w:spacing w:line="276" w:lineRule="auto"/>
              <w:rPr>
                <w:rFonts w:ascii="Arial" w:hAnsi="Arial" w:cs="Arial"/>
                <w:lang w:val="el-GR"/>
              </w:rPr>
            </w:pPr>
          </w:p>
          <w:p w14:paraId="6A992186" w14:textId="178D8A9A" w:rsidR="00A857EA" w:rsidRPr="00027D4B" w:rsidRDefault="00A857EA" w:rsidP="00A857EA">
            <w:pPr>
              <w:spacing w:line="276" w:lineRule="auto"/>
              <w:rPr>
                <w:rFonts w:ascii="Arial" w:hAnsi="Arial" w:cs="Arial"/>
                <w:lang w:val="el-GR"/>
              </w:rPr>
            </w:pPr>
          </w:p>
        </w:tc>
        <w:tc>
          <w:tcPr>
            <w:tcW w:w="7237" w:type="dxa"/>
            <w:gridSpan w:val="3"/>
          </w:tcPr>
          <w:p w14:paraId="3BF25E48" w14:textId="05A64FEB" w:rsidR="00A857EA" w:rsidRPr="00A109FA" w:rsidRDefault="00A857EA" w:rsidP="00B74F09">
            <w:pPr>
              <w:spacing w:line="360" w:lineRule="auto"/>
              <w:jc w:val="both"/>
              <w:rPr>
                <w:rFonts w:ascii="Arial" w:hAnsi="Arial" w:cs="Arial"/>
                <w:sz w:val="24"/>
                <w:szCs w:val="24"/>
                <w:lang w:val="el-GR"/>
              </w:rPr>
            </w:pPr>
            <w:r>
              <w:rPr>
                <w:rFonts w:ascii="Arial" w:hAnsi="Arial" w:cs="Arial"/>
                <w:sz w:val="24"/>
                <w:szCs w:val="24"/>
                <w:lang w:val="el-GR"/>
              </w:rPr>
              <w:t xml:space="preserve">4. </w:t>
            </w:r>
            <w:r w:rsidRPr="00A109FA">
              <w:rPr>
                <w:rFonts w:ascii="Arial" w:hAnsi="Arial" w:cs="Arial"/>
                <w:sz w:val="24"/>
                <w:szCs w:val="24"/>
                <w:lang w:val="el-GR"/>
              </w:rPr>
              <w:t>Το</w:t>
            </w:r>
            <w:r>
              <w:rPr>
                <w:rFonts w:ascii="Arial" w:hAnsi="Arial" w:cs="Arial"/>
                <w:sz w:val="24"/>
                <w:szCs w:val="24"/>
                <w:lang w:val="el-GR"/>
              </w:rPr>
              <w:t xml:space="preserve"> εδάφιο (5) του </w:t>
            </w:r>
            <w:r w:rsidRPr="00A109FA">
              <w:rPr>
                <w:rFonts w:ascii="Arial" w:hAnsi="Arial" w:cs="Arial"/>
                <w:sz w:val="24"/>
                <w:szCs w:val="24"/>
                <w:lang w:val="el-GR"/>
              </w:rPr>
              <w:t>άρθρο</w:t>
            </w:r>
            <w:r>
              <w:rPr>
                <w:rFonts w:ascii="Arial" w:hAnsi="Arial" w:cs="Arial"/>
                <w:sz w:val="24"/>
                <w:szCs w:val="24"/>
                <w:lang w:val="el-GR"/>
              </w:rPr>
              <w:t>υ</w:t>
            </w:r>
            <w:r w:rsidRPr="00A109FA">
              <w:rPr>
                <w:rFonts w:ascii="Arial" w:hAnsi="Arial" w:cs="Arial"/>
                <w:sz w:val="24"/>
                <w:szCs w:val="24"/>
                <w:lang w:val="el-GR"/>
              </w:rPr>
              <w:t xml:space="preserve"> </w:t>
            </w:r>
            <w:r>
              <w:rPr>
                <w:rFonts w:ascii="Arial" w:hAnsi="Arial" w:cs="Arial"/>
                <w:sz w:val="24"/>
                <w:szCs w:val="24"/>
                <w:lang w:val="el-GR"/>
              </w:rPr>
              <w:t>20</w:t>
            </w:r>
            <w:r w:rsidRPr="00A109FA">
              <w:rPr>
                <w:rFonts w:ascii="Arial" w:hAnsi="Arial" w:cs="Arial"/>
                <w:sz w:val="24"/>
                <w:szCs w:val="24"/>
                <w:lang w:val="el-GR"/>
              </w:rPr>
              <w:t xml:space="preserve"> του βασικού νόμο</w:t>
            </w:r>
            <w:r>
              <w:rPr>
                <w:rFonts w:ascii="Arial" w:hAnsi="Arial" w:cs="Arial"/>
                <w:sz w:val="24"/>
                <w:szCs w:val="24"/>
                <w:lang w:val="el-GR"/>
              </w:rPr>
              <w:t>υ τροποποιείται με την αντικατάσταση της φράσης «</w:t>
            </w:r>
            <w:r w:rsidRPr="002F1E44">
              <w:rPr>
                <w:rFonts w:ascii="Arial" w:hAnsi="Arial" w:cs="Arial"/>
                <w:sz w:val="24"/>
                <w:szCs w:val="24"/>
                <w:lang w:val="el-GR"/>
              </w:rPr>
              <w:t>την Υπηρεσία</w:t>
            </w:r>
            <w:r>
              <w:rPr>
                <w:rFonts w:ascii="Arial" w:hAnsi="Arial" w:cs="Arial"/>
                <w:sz w:val="24"/>
                <w:szCs w:val="24"/>
                <w:lang w:val="el-GR"/>
              </w:rPr>
              <w:t xml:space="preserve"> ως τον υπεύθυνο φορέα εναλλακτικής επίλυσής των διαφορών» </w:t>
            </w:r>
            <w:r w:rsidRPr="002D0D21">
              <w:rPr>
                <w:rFonts w:ascii="Arial" w:hAnsi="Arial" w:cs="Arial"/>
                <w:sz w:val="24"/>
                <w:szCs w:val="24"/>
                <w:lang w:val="el-GR"/>
              </w:rPr>
              <w:t xml:space="preserve">(τρίτη </w:t>
            </w:r>
            <w:r w:rsidR="00B74F09" w:rsidRPr="00B74F09">
              <w:rPr>
                <w:rFonts w:ascii="Arial" w:hAnsi="Arial" w:cs="Arial"/>
                <w:sz w:val="24"/>
                <w:szCs w:val="24"/>
                <w:lang w:val="el-GR"/>
              </w:rPr>
              <w:t xml:space="preserve">και τέταρτη </w:t>
            </w:r>
            <w:r w:rsidRPr="002D0D21">
              <w:rPr>
                <w:rFonts w:ascii="Arial" w:hAnsi="Arial" w:cs="Arial"/>
                <w:sz w:val="24"/>
                <w:szCs w:val="24"/>
                <w:lang w:val="el-GR"/>
              </w:rPr>
              <w:t>γραμμή)</w:t>
            </w:r>
            <w:r w:rsidRPr="00A109FA">
              <w:rPr>
                <w:rFonts w:ascii="Arial" w:hAnsi="Arial" w:cs="Arial"/>
                <w:sz w:val="24"/>
                <w:szCs w:val="24"/>
                <w:lang w:val="el-GR"/>
              </w:rPr>
              <w:t xml:space="preserve"> </w:t>
            </w:r>
            <w:r>
              <w:rPr>
                <w:rFonts w:ascii="Arial" w:hAnsi="Arial" w:cs="Arial"/>
                <w:sz w:val="24"/>
                <w:szCs w:val="24"/>
                <w:lang w:val="el-GR"/>
              </w:rPr>
              <w:t>με τη φράση «</w:t>
            </w:r>
            <w:r w:rsidR="00B74F09">
              <w:rPr>
                <w:rFonts w:ascii="Arial" w:hAnsi="Arial" w:cs="Arial"/>
                <w:sz w:val="24"/>
                <w:szCs w:val="24"/>
                <w:lang w:val="el-GR"/>
              </w:rPr>
              <w:t xml:space="preserve">στον </w:t>
            </w:r>
            <w:r w:rsidR="00B74F09" w:rsidRPr="00B74F09">
              <w:rPr>
                <w:rFonts w:ascii="Arial" w:hAnsi="Arial" w:cs="Arial"/>
                <w:sz w:val="24"/>
                <w:szCs w:val="24"/>
                <w:lang w:val="el-GR"/>
              </w:rPr>
              <w:t xml:space="preserve">αναφερόμενο στο άρθρο 25 </w:t>
            </w:r>
            <w:r>
              <w:rPr>
                <w:rFonts w:ascii="Arial" w:hAnsi="Arial" w:cs="Arial"/>
                <w:sz w:val="24"/>
                <w:szCs w:val="24"/>
                <w:lang w:val="el-GR"/>
              </w:rPr>
              <w:t>φορέα ΕΕΔ».</w:t>
            </w:r>
          </w:p>
        </w:tc>
      </w:tr>
      <w:tr w:rsidR="00A857EA" w:rsidRPr="00134520" w14:paraId="6EED0B2D" w14:textId="77777777" w:rsidTr="00753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3"/>
            <w:tcBorders>
              <w:top w:val="nil"/>
              <w:left w:val="nil"/>
              <w:bottom w:val="nil"/>
              <w:right w:val="nil"/>
            </w:tcBorders>
          </w:tcPr>
          <w:p w14:paraId="4C8F2B5E" w14:textId="77777777" w:rsidR="00A857EA" w:rsidRPr="00027D4B" w:rsidRDefault="00A857EA" w:rsidP="00A857EA">
            <w:pPr>
              <w:spacing w:line="276" w:lineRule="auto"/>
              <w:rPr>
                <w:rFonts w:ascii="Arial" w:hAnsi="Arial" w:cs="Arial"/>
                <w:lang w:val="el-GR"/>
              </w:rPr>
            </w:pPr>
          </w:p>
        </w:tc>
        <w:tc>
          <w:tcPr>
            <w:tcW w:w="7237" w:type="dxa"/>
            <w:gridSpan w:val="3"/>
            <w:tcBorders>
              <w:top w:val="nil"/>
              <w:left w:val="nil"/>
              <w:bottom w:val="nil"/>
              <w:right w:val="nil"/>
            </w:tcBorders>
          </w:tcPr>
          <w:p w14:paraId="384FF815" w14:textId="77777777" w:rsidR="00A857EA" w:rsidRPr="00A109FA" w:rsidRDefault="00A857EA" w:rsidP="00A857EA">
            <w:pPr>
              <w:spacing w:line="360" w:lineRule="auto"/>
              <w:ind w:left="170"/>
              <w:jc w:val="both"/>
              <w:rPr>
                <w:rFonts w:ascii="Arial" w:hAnsi="Arial" w:cs="Arial"/>
                <w:sz w:val="24"/>
                <w:szCs w:val="24"/>
                <w:lang w:val="el-GR"/>
              </w:rPr>
            </w:pPr>
          </w:p>
        </w:tc>
      </w:tr>
      <w:tr w:rsidR="00A857EA" w:rsidRPr="00134520" w14:paraId="33B97CDF" w14:textId="77777777" w:rsidTr="00753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3"/>
            <w:tcBorders>
              <w:top w:val="nil"/>
              <w:left w:val="nil"/>
              <w:bottom w:val="nil"/>
              <w:right w:val="nil"/>
            </w:tcBorders>
          </w:tcPr>
          <w:p w14:paraId="27B7E575" w14:textId="77777777" w:rsidR="00A857EA" w:rsidRPr="00027D4B" w:rsidRDefault="00A857EA" w:rsidP="00A857EA">
            <w:pPr>
              <w:spacing w:line="276" w:lineRule="auto"/>
              <w:rPr>
                <w:rFonts w:ascii="Arial" w:hAnsi="Arial" w:cs="Arial"/>
                <w:lang w:val="el-GR"/>
              </w:rPr>
            </w:pPr>
            <w:r>
              <w:rPr>
                <w:rFonts w:ascii="Arial" w:hAnsi="Arial" w:cs="Arial"/>
                <w:lang w:val="el-GR"/>
              </w:rPr>
              <w:t>Τροποποίηση του άρθρου 25 του βασικού νόμου</w:t>
            </w:r>
          </w:p>
          <w:p w14:paraId="7322922C" w14:textId="77777777" w:rsidR="00A857EA" w:rsidRPr="00027D4B" w:rsidRDefault="00A857EA" w:rsidP="00A857EA">
            <w:pPr>
              <w:spacing w:line="276" w:lineRule="auto"/>
              <w:rPr>
                <w:rFonts w:ascii="Arial" w:hAnsi="Arial" w:cs="Arial"/>
                <w:lang w:val="el-GR"/>
              </w:rPr>
            </w:pPr>
          </w:p>
        </w:tc>
        <w:tc>
          <w:tcPr>
            <w:tcW w:w="7237" w:type="dxa"/>
            <w:gridSpan w:val="3"/>
            <w:tcBorders>
              <w:top w:val="nil"/>
              <w:left w:val="nil"/>
              <w:bottom w:val="nil"/>
              <w:right w:val="nil"/>
            </w:tcBorders>
          </w:tcPr>
          <w:p w14:paraId="104EA26A" w14:textId="790C66D6" w:rsidR="00A857EA" w:rsidRPr="00A109FA" w:rsidRDefault="00A857EA" w:rsidP="00A857EA">
            <w:pPr>
              <w:spacing w:line="360" w:lineRule="auto"/>
              <w:jc w:val="both"/>
              <w:rPr>
                <w:rFonts w:ascii="Arial" w:hAnsi="Arial" w:cs="Arial"/>
                <w:sz w:val="24"/>
                <w:szCs w:val="24"/>
                <w:lang w:val="el-GR"/>
              </w:rPr>
            </w:pPr>
            <w:r>
              <w:rPr>
                <w:rFonts w:ascii="Arial" w:hAnsi="Arial" w:cs="Arial"/>
                <w:sz w:val="24"/>
                <w:szCs w:val="24"/>
                <w:lang w:val="el-GR"/>
              </w:rPr>
              <w:t>5. Το άρθρο 25 του βασικού νόμου αντικαθίσταται από το ακόλουθο νέο άρθρο</w:t>
            </w:r>
            <w:r w:rsidRPr="009D0A3B">
              <w:rPr>
                <w:rFonts w:ascii="Arial" w:hAnsi="Arial" w:cs="Arial"/>
                <w:sz w:val="24"/>
                <w:szCs w:val="24"/>
                <w:lang w:val="el-GR"/>
              </w:rPr>
              <w:t>:</w:t>
            </w:r>
          </w:p>
        </w:tc>
      </w:tr>
      <w:tr w:rsidR="00A857EA" w:rsidRPr="00134520" w14:paraId="6A6F38F1" w14:textId="77777777" w:rsidTr="00C1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3"/>
            <w:tcBorders>
              <w:top w:val="nil"/>
              <w:left w:val="nil"/>
              <w:bottom w:val="nil"/>
              <w:right w:val="nil"/>
            </w:tcBorders>
          </w:tcPr>
          <w:p w14:paraId="12A1BC39" w14:textId="77777777" w:rsidR="00A857EA" w:rsidRPr="00027D4B" w:rsidRDefault="00A857EA" w:rsidP="009D0A3B">
            <w:pPr>
              <w:rPr>
                <w:rFonts w:ascii="Arial" w:hAnsi="Arial" w:cs="Arial"/>
                <w:lang w:val="el-GR"/>
              </w:rPr>
            </w:pPr>
          </w:p>
          <w:p w14:paraId="61BE94E6" w14:textId="77777777" w:rsidR="00A857EA" w:rsidRPr="00027D4B" w:rsidRDefault="00A857EA" w:rsidP="009D0A3B">
            <w:pPr>
              <w:rPr>
                <w:rFonts w:ascii="Arial" w:hAnsi="Arial" w:cs="Arial"/>
                <w:lang w:val="el-GR"/>
              </w:rPr>
            </w:pPr>
          </w:p>
          <w:p w14:paraId="5F932153" w14:textId="77777777" w:rsidR="00A857EA" w:rsidRPr="00027D4B" w:rsidRDefault="00A857EA" w:rsidP="009D0A3B">
            <w:pPr>
              <w:rPr>
                <w:rFonts w:ascii="Arial" w:hAnsi="Arial" w:cs="Arial"/>
                <w:lang w:val="el-GR"/>
              </w:rPr>
            </w:pPr>
          </w:p>
          <w:p w14:paraId="4F9FCDC4" w14:textId="4ECAC0A7" w:rsidR="00A857EA" w:rsidRPr="00570CE1" w:rsidRDefault="00A857EA" w:rsidP="00A30144">
            <w:pPr>
              <w:spacing w:line="360" w:lineRule="auto"/>
              <w:ind w:right="-57"/>
              <w:jc w:val="right"/>
              <w:rPr>
                <w:rFonts w:ascii="Arial" w:hAnsi="Arial" w:cs="Arial"/>
                <w:lang w:val="el-GR"/>
              </w:rPr>
            </w:pPr>
          </w:p>
          <w:p w14:paraId="2A7261AB" w14:textId="77777777" w:rsidR="00A857EA" w:rsidRPr="00027D4B" w:rsidRDefault="00A857EA" w:rsidP="009D0A3B">
            <w:pPr>
              <w:rPr>
                <w:rFonts w:ascii="Arial" w:hAnsi="Arial" w:cs="Arial"/>
                <w:lang w:val="el-GR"/>
              </w:rPr>
            </w:pPr>
          </w:p>
          <w:p w14:paraId="338A783D" w14:textId="07CE92DA" w:rsidR="00A857EA" w:rsidRPr="00A109FA" w:rsidRDefault="00A857EA" w:rsidP="009D0A3B">
            <w:pPr>
              <w:spacing w:line="360" w:lineRule="auto"/>
              <w:ind w:right="-57"/>
              <w:rPr>
                <w:rFonts w:ascii="Arial" w:hAnsi="Arial" w:cs="Arial"/>
                <w:lang w:val="el-GR"/>
              </w:rPr>
            </w:pPr>
          </w:p>
        </w:tc>
        <w:tc>
          <w:tcPr>
            <w:tcW w:w="7237" w:type="dxa"/>
            <w:gridSpan w:val="3"/>
            <w:tcBorders>
              <w:top w:val="nil"/>
              <w:left w:val="nil"/>
              <w:bottom w:val="nil"/>
              <w:right w:val="nil"/>
            </w:tcBorders>
          </w:tcPr>
          <w:p w14:paraId="6CFABE9B" w14:textId="391C3866" w:rsidR="00A857EA" w:rsidRPr="009D0A3B" w:rsidRDefault="00A857EA" w:rsidP="00B74F09">
            <w:pPr>
              <w:spacing w:line="360" w:lineRule="auto"/>
              <w:jc w:val="both"/>
              <w:rPr>
                <w:rFonts w:ascii="Arial" w:hAnsi="Arial" w:cs="Arial"/>
                <w:sz w:val="24"/>
                <w:szCs w:val="24"/>
                <w:lang w:val="el-GR"/>
              </w:rPr>
            </w:pPr>
            <w:r>
              <w:rPr>
                <w:rFonts w:ascii="Arial" w:hAnsi="Arial" w:cs="Arial"/>
                <w:sz w:val="24"/>
                <w:szCs w:val="24"/>
                <w:lang w:val="el-GR"/>
              </w:rPr>
              <w:t xml:space="preserve">«25.(1) </w:t>
            </w:r>
            <w:r w:rsidR="00B74F09" w:rsidRPr="00B74F09">
              <w:rPr>
                <w:rFonts w:ascii="Arial" w:hAnsi="Arial" w:cs="Arial"/>
                <w:sz w:val="24"/>
                <w:szCs w:val="24"/>
                <w:lang w:val="el-GR"/>
              </w:rPr>
              <w:t>Για τη διευθέτηση των διαφορών που αφορούν τα δικαιώματα και τις υποχρεώσεις που καθορίζονται δυνάμει του παρόντος νόμου οι καταναλωτές έχουν πρόσβαση στις διαδικασίες που προβλέπονται στον περί της Εναλλακτικής Επίλυσης Καταναλωτικών Διαφορών Νόμο. Οι εν λόγω διαφορές επιλύονται από φορέα εναλλακτικής επίλυσης διαφορών που πληροί τις ποιοτικές απαιτήσεις που ορίζονται στον εν λόγω Νόμο</w:t>
            </w:r>
            <w:r w:rsidR="009F4B70">
              <w:rPr>
                <w:rFonts w:ascii="Arial" w:hAnsi="Arial" w:cs="Arial"/>
                <w:sz w:val="24"/>
                <w:szCs w:val="24"/>
                <w:lang w:val="el-GR"/>
              </w:rPr>
              <w:t>.</w:t>
            </w:r>
          </w:p>
        </w:tc>
      </w:tr>
      <w:tr w:rsidR="00B74F09" w:rsidRPr="00134520" w14:paraId="64A03AD2" w14:textId="77777777" w:rsidTr="00C1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3"/>
            <w:tcBorders>
              <w:top w:val="nil"/>
              <w:left w:val="nil"/>
              <w:bottom w:val="nil"/>
              <w:right w:val="nil"/>
            </w:tcBorders>
          </w:tcPr>
          <w:p w14:paraId="3F24E597" w14:textId="77777777" w:rsidR="00B74F09" w:rsidRPr="00027D4B" w:rsidRDefault="00B74F09" w:rsidP="009D0A3B">
            <w:pPr>
              <w:rPr>
                <w:rFonts w:ascii="Arial" w:hAnsi="Arial" w:cs="Arial"/>
                <w:lang w:val="el-GR"/>
              </w:rPr>
            </w:pPr>
          </w:p>
        </w:tc>
        <w:tc>
          <w:tcPr>
            <w:tcW w:w="7237" w:type="dxa"/>
            <w:gridSpan w:val="3"/>
            <w:tcBorders>
              <w:top w:val="nil"/>
              <w:left w:val="nil"/>
              <w:bottom w:val="nil"/>
              <w:right w:val="nil"/>
            </w:tcBorders>
          </w:tcPr>
          <w:p w14:paraId="05889A9D" w14:textId="563DF600" w:rsidR="00B74F09" w:rsidRDefault="00B74F09" w:rsidP="005063EA">
            <w:pPr>
              <w:spacing w:line="360" w:lineRule="auto"/>
              <w:jc w:val="both"/>
              <w:rPr>
                <w:rFonts w:ascii="Arial" w:hAnsi="Arial" w:cs="Arial"/>
                <w:sz w:val="24"/>
                <w:szCs w:val="24"/>
                <w:lang w:val="el-GR"/>
              </w:rPr>
            </w:pPr>
            <w:r>
              <w:rPr>
                <w:rFonts w:ascii="Arial" w:hAnsi="Arial" w:cs="Arial"/>
                <w:sz w:val="24"/>
                <w:szCs w:val="24"/>
                <w:lang w:val="el-GR"/>
              </w:rPr>
              <w:t>(2) Σε περίπτωση</w:t>
            </w:r>
            <w:r w:rsidRPr="00396C05">
              <w:rPr>
                <w:rFonts w:ascii="Arial" w:hAnsi="Arial" w:cs="Arial"/>
                <w:sz w:val="24"/>
                <w:szCs w:val="24"/>
                <w:lang w:val="el-GR"/>
              </w:rPr>
              <w:t xml:space="preserve"> διαφορά</w:t>
            </w:r>
            <w:r>
              <w:rPr>
                <w:rFonts w:ascii="Arial" w:hAnsi="Arial" w:cs="Arial"/>
                <w:sz w:val="24"/>
                <w:szCs w:val="24"/>
                <w:lang w:val="el-GR"/>
              </w:rPr>
              <w:t>ς</w:t>
            </w:r>
            <w:r w:rsidRPr="00396C05">
              <w:rPr>
                <w:rFonts w:ascii="Arial" w:hAnsi="Arial" w:cs="Arial"/>
                <w:sz w:val="24"/>
                <w:szCs w:val="24"/>
                <w:lang w:val="el-GR"/>
              </w:rPr>
              <w:t xml:space="preserve"> η οποία εμπίπτει στις διατάξεις του εδαφίου (1), ο σχετικός πάροχος υπηρεσιών πληρωμών </w:t>
            </w:r>
            <w:r>
              <w:rPr>
                <w:rFonts w:ascii="Arial" w:hAnsi="Arial" w:cs="Arial"/>
                <w:sz w:val="24"/>
                <w:szCs w:val="24"/>
                <w:lang w:val="el-GR"/>
              </w:rPr>
              <w:t>λαμβάνει μέρος στις διαδικασίες που προβλέπονται στον περί της Εναλλακτικής Επίλυσης Καταναλωτικών Διαφορών Νόμο».</w:t>
            </w:r>
          </w:p>
        </w:tc>
      </w:tr>
      <w:tr w:rsidR="00B74F09" w:rsidRPr="00134520" w14:paraId="23B39D16" w14:textId="77777777" w:rsidTr="00C1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3"/>
            <w:tcBorders>
              <w:top w:val="nil"/>
              <w:left w:val="nil"/>
              <w:bottom w:val="nil"/>
              <w:right w:val="nil"/>
            </w:tcBorders>
          </w:tcPr>
          <w:p w14:paraId="52CEA253" w14:textId="77777777" w:rsidR="00B74F09" w:rsidRDefault="00B74F09" w:rsidP="009D0A3B">
            <w:pPr>
              <w:rPr>
                <w:rFonts w:ascii="Arial" w:hAnsi="Arial" w:cs="Arial"/>
                <w:lang w:val="el-GR"/>
              </w:rPr>
            </w:pPr>
          </w:p>
        </w:tc>
        <w:tc>
          <w:tcPr>
            <w:tcW w:w="7237" w:type="dxa"/>
            <w:gridSpan w:val="3"/>
            <w:tcBorders>
              <w:top w:val="nil"/>
              <w:left w:val="nil"/>
              <w:bottom w:val="nil"/>
              <w:right w:val="nil"/>
            </w:tcBorders>
          </w:tcPr>
          <w:p w14:paraId="5C362198" w14:textId="77777777" w:rsidR="00B74F09" w:rsidRDefault="00B74F09" w:rsidP="009D0A3B">
            <w:pPr>
              <w:spacing w:line="360" w:lineRule="auto"/>
              <w:jc w:val="both"/>
              <w:rPr>
                <w:rFonts w:ascii="Arial" w:hAnsi="Arial" w:cs="Arial"/>
                <w:sz w:val="24"/>
                <w:szCs w:val="24"/>
                <w:lang w:val="el-GR"/>
              </w:rPr>
            </w:pPr>
          </w:p>
        </w:tc>
      </w:tr>
      <w:tr w:rsidR="00B74F09" w:rsidRPr="00134520" w14:paraId="5426FDA3" w14:textId="77777777" w:rsidTr="00C15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3"/>
            <w:tcBorders>
              <w:top w:val="nil"/>
              <w:left w:val="nil"/>
              <w:bottom w:val="nil"/>
              <w:right w:val="nil"/>
            </w:tcBorders>
          </w:tcPr>
          <w:p w14:paraId="62B8E71B" w14:textId="36D14771" w:rsidR="00B74F09" w:rsidRDefault="00B74F09" w:rsidP="00540647">
            <w:pPr>
              <w:spacing w:line="360" w:lineRule="auto"/>
              <w:rPr>
                <w:rFonts w:ascii="Arial" w:hAnsi="Arial" w:cs="Arial"/>
                <w:lang w:val="el-GR"/>
              </w:rPr>
            </w:pPr>
            <w:r w:rsidRPr="00B74F09">
              <w:rPr>
                <w:rFonts w:ascii="Arial" w:hAnsi="Arial" w:cs="Arial"/>
                <w:lang w:val="el-GR"/>
              </w:rPr>
              <w:lastRenderedPageBreak/>
              <w:t>Προσθήκη του νέου άρθρου 32Α στο βασικό νόμο.</w:t>
            </w:r>
          </w:p>
        </w:tc>
        <w:tc>
          <w:tcPr>
            <w:tcW w:w="7237" w:type="dxa"/>
            <w:gridSpan w:val="3"/>
            <w:tcBorders>
              <w:top w:val="nil"/>
              <w:left w:val="nil"/>
              <w:bottom w:val="nil"/>
              <w:right w:val="nil"/>
            </w:tcBorders>
          </w:tcPr>
          <w:p w14:paraId="6A86E5B3" w14:textId="0CE67199" w:rsidR="00B74F09" w:rsidRDefault="00B74F09" w:rsidP="005063EA">
            <w:pPr>
              <w:spacing w:line="360" w:lineRule="auto"/>
              <w:jc w:val="both"/>
              <w:rPr>
                <w:rFonts w:ascii="Arial" w:hAnsi="Arial" w:cs="Arial"/>
                <w:sz w:val="24"/>
                <w:szCs w:val="24"/>
                <w:lang w:val="el-GR"/>
              </w:rPr>
            </w:pPr>
            <w:r>
              <w:rPr>
                <w:rFonts w:ascii="Arial" w:hAnsi="Arial" w:cs="Arial"/>
                <w:sz w:val="24"/>
                <w:szCs w:val="24"/>
                <w:lang w:val="el-GR"/>
              </w:rPr>
              <w:t>6</w:t>
            </w:r>
            <w:r w:rsidRPr="00B74F09">
              <w:rPr>
                <w:rFonts w:ascii="Arial" w:hAnsi="Arial" w:cs="Arial"/>
                <w:sz w:val="24"/>
                <w:szCs w:val="24"/>
                <w:lang w:val="el-GR"/>
              </w:rPr>
              <w:t>. Ο βασικός νόμος τροποποιείται με την προσθήκη, αμέσως μετά το άρθρο 32, του ακόλουθου νέου άρθρου 32Α:</w:t>
            </w:r>
          </w:p>
        </w:tc>
      </w:tr>
      <w:tr w:rsidR="005063EA" w:rsidRPr="00134520" w14:paraId="1D904780"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032620F" w14:textId="020DA347"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6CC67C65" w14:textId="4298C7B3" w:rsidR="005063EA" w:rsidRPr="005063EA" w:rsidRDefault="005063EA" w:rsidP="005063EA">
            <w:pPr>
              <w:spacing w:line="360" w:lineRule="auto"/>
              <w:jc w:val="both"/>
              <w:rPr>
                <w:rFonts w:ascii="Arial" w:hAnsi="Arial" w:cs="Arial"/>
                <w:lang w:val="el-GR"/>
              </w:rPr>
            </w:pPr>
            <w:r w:rsidRPr="005063EA">
              <w:rPr>
                <w:rFonts w:ascii="Arial" w:hAnsi="Arial" w:cs="Arial"/>
                <w:lang w:val="el-GR"/>
              </w:rPr>
              <w:t>«Εξουσιοδότηση.</w:t>
            </w:r>
          </w:p>
        </w:tc>
        <w:tc>
          <w:tcPr>
            <w:tcW w:w="6245" w:type="dxa"/>
            <w:tcBorders>
              <w:top w:val="nil"/>
              <w:left w:val="nil"/>
              <w:bottom w:val="nil"/>
              <w:right w:val="nil"/>
            </w:tcBorders>
          </w:tcPr>
          <w:p w14:paraId="27E88057" w14:textId="39BF7C3B" w:rsidR="005063EA" w:rsidRPr="005063EA" w:rsidRDefault="005063EA" w:rsidP="005063EA">
            <w:pPr>
              <w:spacing w:line="360" w:lineRule="auto"/>
              <w:jc w:val="both"/>
              <w:rPr>
                <w:rFonts w:ascii="Arial" w:hAnsi="Arial" w:cs="Arial"/>
                <w:sz w:val="24"/>
                <w:szCs w:val="24"/>
                <w:lang w:val="el-GR"/>
              </w:rPr>
            </w:pPr>
            <w:r w:rsidRPr="005063EA">
              <w:rPr>
                <w:rFonts w:ascii="Arial" w:hAnsi="Arial" w:cs="Arial"/>
                <w:sz w:val="24"/>
                <w:szCs w:val="24"/>
                <w:lang w:val="el-GR"/>
              </w:rPr>
              <w:t>32Α.-(1) Ο Υπουργός Οικονομικών δύναται να μεταβιβάζει γραπτώς την άσκηση οποιασδήποτε εξουσίας, εξαιρουμένης της εξουσίας περί έκδοσης κανονιστικών διοικητικών πράξεων, καθώς και την εκτέλεση οποιουδήποτε καθήκοντος, που οι διατάξεις του παρόντος Νόμου ή των δυνάμει αυτού εκδιδόμενων κανονισμών του χορηγούν ή αναθέτουν, αντίστοιχα, σε οποιοδήποτε πρόσωπο υπηρετεί στο Υπουργείο Οικονομικών ή σε Τμήμα του Υπουργείου Οικονομικών· στην περίπτωση της μεταβίβασης αυτής, ο Υπουργός Οικονομικών διατηρεί την εξουσία να ασκεί την ούτως μεταβιβαζομένη εξουσία και να εκτελεί το ούτως μεταβιβαζόμενο καθήκον από και κατά τη διάρκεια της εν λόγω μεταβίβασης.</w:t>
            </w:r>
          </w:p>
        </w:tc>
      </w:tr>
      <w:tr w:rsidR="005063EA" w:rsidRPr="00134520" w14:paraId="1121B297"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FC55DB4" w14:textId="77777777"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71A87F3B" w14:textId="77777777" w:rsidR="005063EA" w:rsidRPr="005063EA" w:rsidRDefault="005063EA" w:rsidP="005063EA">
            <w:pPr>
              <w:spacing w:line="360" w:lineRule="auto"/>
              <w:jc w:val="both"/>
              <w:rPr>
                <w:rFonts w:ascii="Arial" w:hAnsi="Arial" w:cs="Arial"/>
                <w:lang w:val="el-GR"/>
              </w:rPr>
            </w:pPr>
          </w:p>
        </w:tc>
        <w:tc>
          <w:tcPr>
            <w:tcW w:w="6245" w:type="dxa"/>
            <w:tcBorders>
              <w:top w:val="nil"/>
              <w:left w:val="nil"/>
              <w:bottom w:val="nil"/>
              <w:right w:val="nil"/>
            </w:tcBorders>
          </w:tcPr>
          <w:p w14:paraId="6825E727" w14:textId="77777777" w:rsidR="005063EA" w:rsidRDefault="005063EA" w:rsidP="005063EA">
            <w:pPr>
              <w:spacing w:line="360" w:lineRule="auto"/>
              <w:jc w:val="both"/>
              <w:rPr>
                <w:rFonts w:ascii="Arial" w:hAnsi="Arial" w:cs="Arial"/>
                <w:sz w:val="24"/>
                <w:szCs w:val="24"/>
                <w:lang w:val="el-GR"/>
              </w:rPr>
            </w:pPr>
          </w:p>
        </w:tc>
      </w:tr>
      <w:tr w:rsidR="005063EA" w:rsidRPr="00134520" w14:paraId="45835B77"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67BAEE14" w14:textId="77777777"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094C6DAE" w14:textId="77777777" w:rsidR="005063EA" w:rsidRPr="005063EA" w:rsidRDefault="005063EA" w:rsidP="005063EA">
            <w:pPr>
              <w:spacing w:line="360" w:lineRule="auto"/>
              <w:jc w:val="both"/>
              <w:rPr>
                <w:rFonts w:ascii="Arial" w:hAnsi="Arial" w:cs="Arial"/>
                <w:lang w:val="el-GR"/>
              </w:rPr>
            </w:pPr>
          </w:p>
        </w:tc>
        <w:tc>
          <w:tcPr>
            <w:tcW w:w="6245" w:type="dxa"/>
            <w:tcBorders>
              <w:top w:val="nil"/>
              <w:left w:val="nil"/>
              <w:bottom w:val="nil"/>
              <w:right w:val="nil"/>
            </w:tcBorders>
          </w:tcPr>
          <w:p w14:paraId="54185BB7" w14:textId="331BDBB0" w:rsidR="005063EA" w:rsidRPr="005063EA" w:rsidRDefault="005063EA" w:rsidP="005063EA">
            <w:pPr>
              <w:spacing w:line="360" w:lineRule="auto"/>
              <w:jc w:val="both"/>
              <w:rPr>
                <w:rFonts w:ascii="Arial" w:hAnsi="Arial" w:cs="Arial"/>
                <w:sz w:val="24"/>
                <w:szCs w:val="24"/>
                <w:lang w:val="el-GR"/>
              </w:rPr>
            </w:pPr>
            <w:r w:rsidRPr="005063EA">
              <w:rPr>
                <w:rFonts w:ascii="Arial" w:hAnsi="Arial" w:cs="Arial"/>
                <w:sz w:val="24"/>
                <w:szCs w:val="24"/>
                <w:lang w:val="el-GR"/>
              </w:rPr>
              <w:t>(2) Πρόσωπο, στο οποίο μεταβιβάζεται η άσκηση εξουσίας ή η εκτέλεση καθήκοντος δυνάμει του εδαφίου (1), έχει υποχρέωση να ασκεί τη μεταβιβαζόμενη εξουσία και να εκτελεί το μεταβιβαζόμενο καθήκον σύμφωνα με οδηγίες που ενδέχεται να δοθούν από τον Υπουργό Οικονομικών.</w:t>
            </w:r>
          </w:p>
        </w:tc>
      </w:tr>
      <w:tr w:rsidR="005063EA" w:rsidRPr="00134520" w14:paraId="11BFD4E3"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6FCD497" w14:textId="77777777"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2C7447B3" w14:textId="77777777" w:rsidR="005063EA" w:rsidRPr="005063EA" w:rsidRDefault="005063EA" w:rsidP="005063EA">
            <w:pPr>
              <w:spacing w:line="360" w:lineRule="auto"/>
              <w:jc w:val="both"/>
              <w:rPr>
                <w:rFonts w:ascii="Arial" w:hAnsi="Arial" w:cs="Arial"/>
                <w:lang w:val="el-GR"/>
              </w:rPr>
            </w:pPr>
          </w:p>
        </w:tc>
        <w:tc>
          <w:tcPr>
            <w:tcW w:w="6245" w:type="dxa"/>
            <w:tcBorders>
              <w:top w:val="nil"/>
              <w:left w:val="nil"/>
              <w:bottom w:val="nil"/>
              <w:right w:val="nil"/>
            </w:tcBorders>
          </w:tcPr>
          <w:p w14:paraId="03EF6344" w14:textId="77777777" w:rsidR="005063EA" w:rsidRDefault="005063EA" w:rsidP="005063EA">
            <w:pPr>
              <w:spacing w:line="360" w:lineRule="auto"/>
              <w:jc w:val="both"/>
              <w:rPr>
                <w:rFonts w:ascii="Arial" w:hAnsi="Arial" w:cs="Arial"/>
                <w:sz w:val="24"/>
                <w:szCs w:val="24"/>
                <w:lang w:val="el-GR"/>
              </w:rPr>
            </w:pPr>
          </w:p>
        </w:tc>
      </w:tr>
      <w:tr w:rsidR="005063EA" w:rsidRPr="00134520" w14:paraId="230A2348"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21043F8" w14:textId="002C793F"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150C426F" w14:textId="77777777" w:rsidR="005063EA" w:rsidRPr="005063EA" w:rsidRDefault="005063EA" w:rsidP="005063EA">
            <w:pPr>
              <w:spacing w:line="360" w:lineRule="auto"/>
              <w:jc w:val="both"/>
              <w:rPr>
                <w:rFonts w:ascii="Arial" w:hAnsi="Arial" w:cs="Arial"/>
                <w:sz w:val="24"/>
                <w:szCs w:val="24"/>
                <w:lang w:val="el-GR"/>
              </w:rPr>
            </w:pPr>
          </w:p>
        </w:tc>
        <w:tc>
          <w:tcPr>
            <w:tcW w:w="6245" w:type="dxa"/>
            <w:tcBorders>
              <w:top w:val="nil"/>
              <w:left w:val="nil"/>
              <w:bottom w:val="nil"/>
              <w:right w:val="nil"/>
            </w:tcBorders>
          </w:tcPr>
          <w:p w14:paraId="125D5ECA" w14:textId="1392C216" w:rsidR="005063EA" w:rsidRPr="005063EA" w:rsidRDefault="005063EA" w:rsidP="005063EA">
            <w:pPr>
              <w:spacing w:line="360" w:lineRule="auto"/>
              <w:jc w:val="both"/>
              <w:rPr>
                <w:rFonts w:ascii="Arial" w:hAnsi="Arial" w:cs="Arial"/>
                <w:sz w:val="24"/>
                <w:szCs w:val="24"/>
                <w:lang w:val="el-GR"/>
              </w:rPr>
            </w:pPr>
            <w:r w:rsidRPr="005063EA">
              <w:rPr>
                <w:rFonts w:ascii="Arial" w:hAnsi="Arial" w:cs="Arial"/>
                <w:sz w:val="24"/>
                <w:szCs w:val="24"/>
                <w:lang w:val="el-GR"/>
              </w:rPr>
              <w:t>(3) Ο Υπουργός Οικονομικών δύναται να τροποποιεί και να ανακαλεί μεταβίβαση άσκησης εξουσίας ή/και εκτέλεσης καθήκοντος δυνάμει του εδαφίου (1), με γραπτή ειδοποίηση προς το πρόσωπο στο οποίο η εξουσία έχει μεταβιβαστεί.</w:t>
            </w:r>
          </w:p>
        </w:tc>
      </w:tr>
      <w:tr w:rsidR="005063EA" w:rsidRPr="00134520" w14:paraId="0137A6AE"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57E9CCD4" w14:textId="77777777"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3F63D5D5" w14:textId="77777777" w:rsidR="005063EA" w:rsidRPr="005063EA" w:rsidRDefault="005063EA" w:rsidP="005063EA">
            <w:pPr>
              <w:spacing w:line="360" w:lineRule="auto"/>
              <w:jc w:val="both"/>
              <w:rPr>
                <w:rFonts w:ascii="Arial" w:hAnsi="Arial" w:cs="Arial"/>
                <w:sz w:val="24"/>
                <w:szCs w:val="24"/>
                <w:lang w:val="el-GR"/>
              </w:rPr>
            </w:pPr>
          </w:p>
        </w:tc>
        <w:tc>
          <w:tcPr>
            <w:tcW w:w="6245" w:type="dxa"/>
            <w:tcBorders>
              <w:top w:val="nil"/>
              <w:left w:val="nil"/>
              <w:bottom w:val="nil"/>
              <w:right w:val="nil"/>
            </w:tcBorders>
          </w:tcPr>
          <w:p w14:paraId="740F1222" w14:textId="77777777" w:rsidR="005063EA" w:rsidRDefault="005063EA" w:rsidP="005063EA">
            <w:pPr>
              <w:spacing w:line="360" w:lineRule="auto"/>
              <w:jc w:val="both"/>
              <w:rPr>
                <w:rFonts w:ascii="Arial" w:hAnsi="Arial" w:cs="Arial"/>
                <w:sz w:val="24"/>
                <w:szCs w:val="24"/>
                <w:lang w:val="el-GR"/>
              </w:rPr>
            </w:pPr>
          </w:p>
        </w:tc>
      </w:tr>
      <w:tr w:rsidR="005063EA" w:rsidRPr="00134520" w14:paraId="4AE81BD9"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5D74BCE7" w14:textId="389E7121"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627FDF67" w14:textId="77777777" w:rsidR="005063EA" w:rsidRPr="005063EA" w:rsidRDefault="005063EA" w:rsidP="005063EA">
            <w:pPr>
              <w:spacing w:line="360" w:lineRule="auto"/>
              <w:jc w:val="both"/>
              <w:rPr>
                <w:rFonts w:ascii="Arial" w:hAnsi="Arial" w:cs="Arial"/>
                <w:sz w:val="24"/>
                <w:szCs w:val="24"/>
                <w:lang w:val="el-GR"/>
              </w:rPr>
            </w:pPr>
          </w:p>
        </w:tc>
        <w:tc>
          <w:tcPr>
            <w:tcW w:w="6245" w:type="dxa"/>
            <w:tcBorders>
              <w:top w:val="nil"/>
              <w:left w:val="nil"/>
              <w:bottom w:val="nil"/>
              <w:right w:val="nil"/>
            </w:tcBorders>
          </w:tcPr>
          <w:p w14:paraId="5EAA6B6D" w14:textId="77C41675" w:rsidR="005063EA" w:rsidRPr="005063EA" w:rsidRDefault="005063EA" w:rsidP="005063EA">
            <w:pPr>
              <w:spacing w:line="360" w:lineRule="auto"/>
              <w:jc w:val="both"/>
              <w:rPr>
                <w:rFonts w:ascii="Arial" w:hAnsi="Arial" w:cs="Arial"/>
                <w:sz w:val="24"/>
                <w:szCs w:val="24"/>
                <w:lang w:val="el-GR"/>
              </w:rPr>
            </w:pPr>
            <w:r w:rsidRPr="005063EA">
              <w:rPr>
                <w:rFonts w:ascii="Arial" w:hAnsi="Arial" w:cs="Arial"/>
                <w:sz w:val="24"/>
                <w:szCs w:val="24"/>
                <w:lang w:val="el-GR"/>
              </w:rPr>
              <w:t xml:space="preserve">(4) Σε περίπτωση κατά την οποία δύο ή περισσότερα πρόσωπα ασκούν ταυτόχρονα, δυνάμει των διατάξεων του παρόντος άρθρου, την ίδια εξουσία ή εκτελούν το ίδιο </w:t>
            </w:r>
            <w:r w:rsidRPr="005063EA">
              <w:rPr>
                <w:rFonts w:ascii="Arial" w:hAnsi="Arial" w:cs="Arial"/>
                <w:sz w:val="24"/>
                <w:szCs w:val="24"/>
                <w:lang w:val="el-GR"/>
              </w:rPr>
              <w:lastRenderedPageBreak/>
              <w:t>καθήκον, ο ιεραρχικά υφιστάμενος των εν λόγω προσώπων δεν ασκεί εξουσία ούτε εκτελεί καθήκον επί των ίδιων πραγματικών γεγονότων με τον ιεραρχικά ανώτερό του, εκτός αν ο τελευταίος το επιτρέπει, σύμφωνα με οδηγίες που ενδέχεται να δοθούν από αυτόν.</w:t>
            </w:r>
          </w:p>
        </w:tc>
      </w:tr>
      <w:tr w:rsidR="005063EA" w:rsidRPr="00134520" w14:paraId="62E6E852"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3DBAFB9E" w14:textId="77777777"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4953A827" w14:textId="77777777" w:rsidR="005063EA" w:rsidRPr="005063EA" w:rsidRDefault="005063EA" w:rsidP="005063EA">
            <w:pPr>
              <w:spacing w:line="360" w:lineRule="auto"/>
              <w:jc w:val="both"/>
              <w:rPr>
                <w:rFonts w:ascii="Arial" w:hAnsi="Arial" w:cs="Arial"/>
                <w:sz w:val="24"/>
                <w:szCs w:val="24"/>
                <w:lang w:val="el-GR"/>
              </w:rPr>
            </w:pPr>
          </w:p>
        </w:tc>
        <w:tc>
          <w:tcPr>
            <w:tcW w:w="6245" w:type="dxa"/>
            <w:tcBorders>
              <w:top w:val="nil"/>
              <w:left w:val="nil"/>
              <w:bottom w:val="nil"/>
              <w:right w:val="nil"/>
            </w:tcBorders>
          </w:tcPr>
          <w:p w14:paraId="2966AC26" w14:textId="77777777" w:rsidR="005063EA" w:rsidRPr="005063EA" w:rsidRDefault="005063EA" w:rsidP="005063EA">
            <w:pPr>
              <w:spacing w:line="360" w:lineRule="auto"/>
              <w:jc w:val="both"/>
              <w:rPr>
                <w:rFonts w:ascii="Arial" w:hAnsi="Arial" w:cs="Arial"/>
                <w:sz w:val="24"/>
                <w:szCs w:val="24"/>
                <w:lang w:val="el-GR"/>
              </w:rPr>
            </w:pPr>
          </w:p>
        </w:tc>
      </w:tr>
      <w:tr w:rsidR="005063EA" w:rsidRPr="00134520" w14:paraId="647D1939" w14:textId="77777777" w:rsidTr="0050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63FCEA93" w14:textId="2D1458CE" w:rsidR="005063EA" w:rsidRDefault="005063EA" w:rsidP="005063EA">
            <w:pPr>
              <w:spacing w:line="276" w:lineRule="auto"/>
              <w:rPr>
                <w:rFonts w:ascii="Arial" w:hAnsi="Arial" w:cs="Arial"/>
                <w:lang w:val="el-GR"/>
              </w:rPr>
            </w:pPr>
          </w:p>
        </w:tc>
        <w:tc>
          <w:tcPr>
            <w:tcW w:w="2126" w:type="dxa"/>
            <w:gridSpan w:val="4"/>
            <w:tcBorders>
              <w:top w:val="nil"/>
              <w:left w:val="nil"/>
              <w:bottom w:val="nil"/>
              <w:right w:val="nil"/>
            </w:tcBorders>
          </w:tcPr>
          <w:p w14:paraId="78BFFF90" w14:textId="77777777" w:rsidR="005063EA" w:rsidRPr="005063EA" w:rsidRDefault="005063EA" w:rsidP="005063EA">
            <w:pPr>
              <w:spacing w:line="360" w:lineRule="auto"/>
              <w:jc w:val="both"/>
              <w:rPr>
                <w:rFonts w:ascii="Arial" w:hAnsi="Arial" w:cs="Arial"/>
                <w:sz w:val="24"/>
                <w:szCs w:val="24"/>
                <w:lang w:val="el-GR"/>
              </w:rPr>
            </w:pPr>
          </w:p>
        </w:tc>
        <w:tc>
          <w:tcPr>
            <w:tcW w:w="6245" w:type="dxa"/>
            <w:tcBorders>
              <w:top w:val="nil"/>
              <w:left w:val="nil"/>
              <w:bottom w:val="nil"/>
              <w:right w:val="nil"/>
            </w:tcBorders>
          </w:tcPr>
          <w:p w14:paraId="78BC224F" w14:textId="37680854" w:rsidR="005063EA" w:rsidRPr="005063EA" w:rsidRDefault="005063EA" w:rsidP="005063EA">
            <w:pPr>
              <w:spacing w:line="360" w:lineRule="auto"/>
              <w:jc w:val="both"/>
              <w:rPr>
                <w:rFonts w:ascii="Arial" w:hAnsi="Arial" w:cs="Arial"/>
                <w:sz w:val="24"/>
                <w:szCs w:val="24"/>
                <w:lang w:val="el-GR"/>
              </w:rPr>
            </w:pPr>
            <w:r w:rsidRPr="005063EA">
              <w:rPr>
                <w:rFonts w:ascii="Arial" w:hAnsi="Arial" w:cs="Arial"/>
                <w:sz w:val="24"/>
                <w:szCs w:val="24"/>
                <w:lang w:val="el-GR"/>
              </w:rPr>
              <w:t>(5) Σε περίπτωση κατά την οποία δυνάμει των διατάξεων του παρόντος άρθρου, πρόσωπο ασκεί εξουσία ή εκτελεί καθήκον που οι διατάξεις του παρόντος Νόμου ή των δυνάμει αυτού εκδιδόμενων κανονισμών χορηγούν ή αναθέτουν, αντίστοιχα, σε άλλο πρόσωπο, οι διατάξεις του παρόντος Νόμου και των δυνάμει αυτού εκδιδόμενων κανονισμών εφαρμόζονται ως εάν να είχαν χορηγήσει ρητά την εν λόγω εξουσία στο πρόσωπο που την ασκεί ή είχαν αναθέσει ρητά το εν λόγω καθήκον στο πρόσωπο που το εκτελεί.”.</w:t>
            </w:r>
          </w:p>
        </w:tc>
      </w:tr>
    </w:tbl>
    <w:p w14:paraId="203C0005" w14:textId="15439A4D" w:rsidR="00BD590C" w:rsidRPr="00A109FA" w:rsidRDefault="00BD590C" w:rsidP="00A109FA">
      <w:pPr>
        <w:spacing w:line="360" w:lineRule="auto"/>
        <w:rPr>
          <w:rFonts w:ascii="Arial" w:hAnsi="Arial" w:cs="Arial"/>
          <w:sz w:val="24"/>
          <w:szCs w:val="24"/>
          <w:lang w:val="el-GR"/>
        </w:rPr>
      </w:pPr>
    </w:p>
    <w:sectPr w:rsidR="00BD590C" w:rsidRPr="00A109FA" w:rsidSect="009A648F">
      <w:headerReference w:type="default" r:id="rId6"/>
      <w:pgSz w:w="11906" w:h="16838"/>
      <w:pgMar w:top="1440"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D5BC" w14:textId="77777777" w:rsidR="005B3BCF" w:rsidRDefault="005B3BCF" w:rsidP="0017725F">
      <w:r>
        <w:separator/>
      </w:r>
    </w:p>
  </w:endnote>
  <w:endnote w:type="continuationSeparator" w:id="0">
    <w:p w14:paraId="381D8FF7" w14:textId="77777777" w:rsidR="005B3BCF" w:rsidRDefault="005B3BCF" w:rsidP="0017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D27DA" w14:textId="77777777" w:rsidR="005B3BCF" w:rsidRDefault="005B3BCF" w:rsidP="0017725F">
      <w:r>
        <w:separator/>
      </w:r>
    </w:p>
  </w:footnote>
  <w:footnote w:type="continuationSeparator" w:id="0">
    <w:p w14:paraId="3A148284" w14:textId="77777777" w:rsidR="005B3BCF" w:rsidRDefault="005B3BCF" w:rsidP="00177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24B1" w14:textId="1EFE3A12" w:rsidR="0017725F" w:rsidRPr="0017725F" w:rsidRDefault="0017725F" w:rsidP="0017725F">
    <w:pPr>
      <w:pStyle w:val="Header"/>
      <w:jc w:val="cent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84"/>
    <w:rsid w:val="00002544"/>
    <w:rsid w:val="00027D4B"/>
    <w:rsid w:val="0003237D"/>
    <w:rsid w:val="00040359"/>
    <w:rsid w:val="000955AD"/>
    <w:rsid w:val="000A6A34"/>
    <w:rsid w:val="000A7BFE"/>
    <w:rsid w:val="000E0C57"/>
    <w:rsid w:val="001226B5"/>
    <w:rsid w:val="00134520"/>
    <w:rsid w:val="00163F83"/>
    <w:rsid w:val="00172672"/>
    <w:rsid w:val="0017725F"/>
    <w:rsid w:val="00184ADC"/>
    <w:rsid w:val="001E4402"/>
    <w:rsid w:val="001E5253"/>
    <w:rsid w:val="0023532B"/>
    <w:rsid w:val="002460B0"/>
    <w:rsid w:val="002A65B0"/>
    <w:rsid w:val="002C0726"/>
    <w:rsid w:val="002C20FC"/>
    <w:rsid w:val="002D0D21"/>
    <w:rsid w:val="002E0E77"/>
    <w:rsid w:val="002E1CD8"/>
    <w:rsid w:val="002F1E44"/>
    <w:rsid w:val="00301590"/>
    <w:rsid w:val="00301E2D"/>
    <w:rsid w:val="003116B4"/>
    <w:rsid w:val="00327188"/>
    <w:rsid w:val="00364921"/>
    <w:rsid w:val="0038415D"/>
    <w:rsid w:val="00396C05"/>
    <w:rsid w:val="003A6A97"/>
    <w:rsid w:val="003B1092"/>
    <w:rsid w:val="003B5F73"/>
    <w:rsid w:val="003C7BEF"/>
    <w:rsid w:val="003F5C70"/>
    <w:rsid w:val="004206DE"/>
    <w:rsid w:val="0042437A"/>
    <w:rsid w:val="00436E6F"/>
    <w:rsid w:val="004A178F"/>
    <w:rsid w:val="004C50B1"/>
    <w:rsid w:val="005063EA"/>
    <w:rsid w:val="00532C43"/>
    <w:rsid w:val="00540647"/>
    <w:rsid w:val="005659DC"/>
    <w:rsid w:val="005725AE"/>
    <w:rsid w:val="00574009"/>
    <w:rsid w:val="005B3BCF"/>
    <w:rsid w:val="005C520A"/>
    <w:rsid w:val="005E4DAB"/>
    <w:rsid w:val="00624851"/>
    <w:rsid w:val="00641ED7"/>
    <w:rsid w:val="006513E9"/>
    <w:rsid w:val="006A5A92"/>
    <w:rsid w:val="007166D1"/>
    <w:rsid w:val="007A1CE0"/>
    <w:rsid w:val="007B4C7A"/>
    <w:rsid w:val="007D3CA1"/>
    <w:rsid w:val="007F2EE0"/>
    <w:rsid w:val="007F377F"/>
    <w:rsid w:val="007F752D"/>
    <w:rsid w:val="00810070"/>
    <w:rsid w:val="0087298D"/>
    <w:rsid w:val="008B0B76"/>
    <w:rsid w:val="008B2E5C"/>
    <w:rsid w:val="008D42BB"/>
    <w:rsid w:val="008F13A2"/>
    <w:rsid w:val="008F7246"/>
    <w:rsid w:val="00953C58"/>
    <w:rsid w:val="00956B7F"/>
    <w:rsid w:val="0097415F"/>
    <w:rsid w:val="009A648F"/>
    <w:rsid w:val="009D0A3B"/>
    <w:rsid w:val="009D144E"/>
    <w:rsid w:val="009F4B70"/>
    <w:rsid w:val="00A043AF"/>
    <w:rsid w:val="00A109FA"/>
    <w:rsid w:val="00A30144"/>
    <w:rsid w:val="00A71205"/>
    <w:rsid w:val="00A72908"/>
    <w:rsid w:val="00A74589"/>
    <w:rsid w:val="00A81BC9"/>
    <w:rsid w:val="00A857EA"/>
    <w:rsid w:val="00A8787F"/>
    <w:rsid w:val="00AF317A"/>
    <w:rsid w:val="00B01A1E"/>
    <w:rsid w:val="00B029BA"/>
    <w:rsid w:val="00B042A5"/>
    <w:rsid w:val="00B21C62"/>
    <w:rsid w:val="00B55DE0"/>
    <w:rsid w:val="00B74F09"/>
    <w:rsid w:val="00B84A20"/>
    <w:rsid w:val="00BD590C"/>
    <w:rsid w:val="00CA6683"/>
    <w:rsid w:val="00CD4A37"/>
    <w:rsid w:val="00CE57C7"/>
    <w:rsid w:val="00D07874"/>
    <w:rsid w:val="00D5650D"/>
    <w:rsid w:val="00D90B84"/>
    <w:rsid w:val="00DB0E60"/>
    <w:rsid w:val="00E8290F"/>
    <w:rsid w:val="00EA2ADF"/>
    <w:rsid w:val="00EC16B1"/>
    <w:rsid w:val="00ED0AE6"/>
    <w:rsid w:val="00F53E2D"/>
    <w:rsid w:val="00F937AB"/>
    <w:rsid w:val="00FA26C3"/>
    <w:rsid w:val="00FD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AEC9"/>
  <w15:chartTrackingRefBased/>
  <w15:docId w15:val="{ABC3DCB2-29E3-476F-ACF2-54B34BA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E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E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01A1E"/>
  </w:style>
  <w:style w:type="paragraph" w:styleId="Header">
    <w:name w:val="header"/>
    <w:basedOn w:val="Normal"/>
    <w:link w:val="HeaderChar"/>
    <w:uiPriority w:val="99"/>
    <w:unhideWhenUsed/>
    <w:rsid w:val="0017725F"/>
    <w:pPr>
      <w:tabs>
        <w:tab w:val="center" w:pos="4513"/>
        <w:tab w:val="right" w:pos="9026"/>
      </w:tabs>
    </w:pPr>
  </w:style>
  <w:style w:type="character" w:customStyle="1" w:styleId="HeaderChar">
    <w:name w:val="Header Char"/>
    <w:basedOn w:val="DefaultParagraphFont"/>
    <w:link w:val="Header"/>
    <w:uiPriority w:val="99"/>
    <w:rsid w:val="0017725F"/>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17725F"/>
    <w:pPr>
      <w:tabs>
        <w:tab w:val="center" w:pos="4513"/>
        <w:tab w:val="right" w:pos="9026"/>
      </w:tabs>
    </w:pPr>
  </w:style>
  <w:style w:type="character" w:customStyle="1" w:styleId="FooterChar">
    <w:name w:val="Footer Char"/>
    <w:basedOn w:val="DefaultParagraphFont"/>
    <w:link w:val="Footer"/>
    <w:uiPriority w:val="99"/>
    <w:rsid w:val="0017725F"/>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85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EA"/>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B74F09"/>
    <w:rPr>
      <w:sz w:val="16"/>
      <w:szCs w:val="16"/>
    </w:rPr>
  </w:style>
  <w:style w:type="paragraph" w:styleId="CommentText">
    <w:name w:val="annotation text"/>
    <w:basedOn w:val="Normal"/>
    <w:link w:val="CommentTextChar"/>
    <w:uiPriority w:val="99"/>
    <w:semiHidden/>
    <w:unhideWhenUsed/>
    <w:rsid w:val="00B74F09"/>
  </w:style>
  <w:style w:type="character" w:customStyle="1" w:styleId="CommentTextChar">
    <w:name w:val="Comment Text Char"/>
    <w:basedOn w:val="DefaultParagraphFont"/>
    <w:link w:val="CommentText"/>
    <w:uiPriority w:val="99"/>
    <w:semiHidden/>
    <w:rsid w:val="00B74F0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74F09"/>
    <w:rPr>
      <w:b/>
      <w:bCs/>
    </w:rPr>
  </w:style>
  <w:style w:type="character" w:customStyle="1" w:styleId="CommentSubjectChar">
    <w:name w:val="Comment Subject Char"/>
    <w:basedOn w:val="CommentTextChar"/>
    <w:link w:val="CommentSubject"/>
    <w:uiPriority w:val="99"/>
    <w:semiHidden/>
    <w:rsid w:val="00B74F09"/>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Siakallis</dc:creator>
  <cp:keywords/>
  <dc:description/>
  <cp:lastModifiedBy>Pavlos Siakallis</cp:lastModifiedBy>
  <cp:revision>58</cp:revision>
  <cp:lastPrinted>2019-02-22T12:43:00Z</cp:lastPrinted>
  <dcterms:created xsi:type="dcterms:W3CDTF">2019-02-22T10:07:00Z</dcterms:created>
  <dcterms:modified xsi:type="dcterms:W3CDTF">2020-06-11T08:09:00Z</dcterms:modified>
</cp:coreProperties>
</file>