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17" w:rsidRPr="00203F3F" w:rsidRDefault="00203F3F" w:rsidP="00203F3F">
      <w:pPr>
        <w:spacing w:after="0" w:line="240" w:lineRule="auto"/>
        <w:contextualSpacing/>
        <w:jc w:val="right"/>
        <w:rPr>
          <w:rFonts w:ascii="Arial" w:eastAsia="Times New Roman" w:hAnsi="Arial" w:cs="Arial"/>
          <w:b/>
          <w:sz w:val="24"/>
          <w:szCs w:val="24"/>
          <w:lang w:val="el-GR"/>
        </w:rPr>
      </w:pPr>
      <w:bookmarkStart w:id="0" w:name="_GoBack"/>
      <w:bookmarkEnd w:id="0"/>
      <w:r w:rsidRPr="00203F3F">
        <w:rPr>
          <w:rFonts w:ascii="Arial" w:eastAsia="Times New Roman" w:hAnsi="Arial" w:cs="Arial"/>
          <w:b/>
          <w:sz w:val="24"/>
          <w:szCs w:val="24"/>
          <w:lang w:val="el-GR"/>
        </w:rPr>
        <w:t>ΠΑΡΑΡΤΗΜΑ</w:t>
      </w:r>
    </w:p>
    <w:p w:rsidR="00203F3F" w:rsidRPr="000B4317" w:rsidRDefault="00203F3F"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p w:rsidR="000B4317" w:rsidRPr="000B4317" w:rsidRDefault="000B4317" w:rsidP="000B4317">
      <w:pPr>
        <w:spacing w:after="0" w:line="240" w:lineRule="auto"/>
        <w:contextualSpacing/>
        <w:jc w:val="both"/>
        <w:rPr>
          <w:rFonts w:ascii="Arial" w:eastAsia="Times New Roman" w:hAnsi="Arial" w:cs="Arial"/>
          <w:b/>
          <w:sz w:val="18"/>
          <w:szCs w:val="18"/>
          <w:lang w:val="el-GR"/>
        </w:rPr>
      </w:pPr>
    </w:p>
    <w:tbl>
      <w:tblPr>
        <w:tblW w:w="10065" w:type="dxa"/>
        <w:tblInd w:w="-176" w:type="dxa"/>
        <w:tblLayout w:type="fixed"/>
        <w:tblLook w:val="04A0" w:firstRow="1" w:lastRow="0" w:firstColumn="1" w:lastColumn="0" w:noHBand="0" w:noVBand="1"/>
      </w:tblPr>
      <w:tblGrid>
        <w:gridCol w:w="1745"/>
        <w:gridCol w:w="1738"/>
        <w:gridCol w:w="203"/>
        <w:gridCol w:w="6379"/>
      </w:tblGrid>
      <w:tr w:rsidR="00DE0E49" w:rsidTr="00DE0E49">
        <w:trPr>
          <w:trHeight w:val="444"/>
        </w:trPr>
        <w:tc>
          <w:tcPr>
            <w:tcW w:w="1745" w:type="dxa"/>
          </w:tcPr>
          <w:p w:rsidR="00DE0E49" w:rsidRDefault="00DE0E49">
            <w:pPr>
              <w:spacing w:after="160" w:line="256" w:lineRule="auto"/>
              <w:rPr>
                <w:rFonts w:ascii="Arial" w:eastAsia="Times New Roman" w:hAnsi="Arial" w:cs="Arial"/>
                <w:sz w:val="20"/>
                <w:szCs w:val="20"/>
                <w:lang w:eastAsia="el-GR"/>
              </w:rPr>
            </w:pPr>
          </w:p>
        </w:tc>
        <w:tc>
          <w:tcPr>
            <w:tcW w:w="1738" w:type="dxa"/>
          </w:tcPr>
          <w:p w:rsidR="00DE0E49" w:rsidRDefault="00DE0E49">
            <w:pPr>
              <w:spacing w:after="160" w:line="256" w:lineRule="auto"/>
              <w:jc w:val="both"/>
              <w:rPr>
                <w:rFonts w:ascii="Arial" w:hAnsi="Arial" w:cs="Arial"/>
                <w:sz w:val="18"/>
                <w:szCs w:val="18"/>
              </w:rPr>
            </w:pPr>
          </w:p>
        </w:tc>
        <w:tc>
          <w:tcPr>
            <w:tcW w:w="6582" w:type="dxa"/>
            <w:gridSpan w:val="2"/>
          </w:tcPr>
          <w:p w:rsidR="00DE0E49" w:rsidRDefault="00DE0E49">
            <w:pPr>
              <w:spacing w:after="0" w:line="360" w:lineRule="auto"/>
              <w:jc w:val="both"/>
              <w:rPr>
                <w:rFonts w:ascii="Arial" w:eastAsia="Times New Roman" w:hAnsi="Arial" w:cs="Arial"/>
                <w:sz w:val="24"/>
                <w:szCs w:val="24"/>
                <w:lang w:eastAsia="en-GB"/>
              </w:rPr>
            </w:pPr>
          </w:p>
        </w:tc>
      </w:tr>
      <w:tr w:rsidR="00DE0E49" w:rsidTr="00DE0E49">
        <w:trPr>
          <w:trHeight w:val="444"/>
        </w:trPr>
        <w:tc>
          <w:tcPr>
            <w:tcW w:w="10065" w:type="dxa"/>
            <w:gridSpan w:val="4"/>
            <w:hideMark/>
          </w:tcPr>
          <w:p w:rsidR="00DE0E49" w:rsidRDefault="00DE0E49">
            <w:pPr>
              <w:spacing w:after="0" w:line="360" w:lineRule="auto"/>
              <w:jc w:val="center"/>
              <w:rPr>
                <w:rFonts w:ascii="Arial" w:eastAsia="Times New Roman" w:hAnsi="Arial" w:cs="Arial"/>
                <w:sz w:val="24"/>
                <w:szCs w:val="24"/>
                <w:lang w:eastAsia="en-GB"/>
              </w:rPr>
            </w:pPr>
            <w:r>
              <w:rPr>
                <w:rFonts w:ascii="Arial" w:hAnsi="Arial" w:cs="Arial"/>
                <w:sz w:val="24"/>
                <w:szCs w:val="24"/>
              </w:rPr>
              <w:t>ΝΟΜΟΣΧΕΔΙΟ ΜΕ ΤΙΤΛΟ</w:t>
            </w:r>
          </w:p>
        </w:tc>
      </w:tr>
      <w:tr w:rsidR="00DE0E49" w:rsidTr="00DE0E49">
        <w:trPr>
          <w:trHeight w:val="444"/>
        </w:trPr>
        <w:tc>
          <w:tcPr>
            <w:tcW w:w="1745" w:type="dxa"/>
          </w:tcPr>
          <w:p w:rsidR="00DE0E49" w:rsidRDefault="00DE0E49">
            <w:pPr>
              <w:spacing w:after="160" w:line="256" w:lineRule="auto"/>
              <w:rPr>
                <w:rFonts w:ascii="Arial" w:eastAsia="Times New Roman" w:hAnsi="Arial" w:cs="Arial"/>
                <w:sz w:val="20"/>
                <w:szCs w:val="20"/>
                <w:lang w:eastAsia="el-GR"/>
              </w:rPr>
            </w:pPr>
          </w:p>
        </w:tc>
        <w:tc>
          <w:tcPr>
            <w:tcW w:w="1738" w:type="dxa"/>
          </w:tcPr>
          <w:p w:rsidR="00DE0E49" w:rsidRDefault="00DE0E49">
            <w:pPr>
              <w:spacing w:after="160" w:line="256" w:lineRule="auto"/>
              <w:jc w:val="both"/>
              <w:rPr>
                <w:rFonts w:ascii="Arial" w:hAnsi="Arial" w:cs="Arial"/>
                <w:sz w:val="18"/>
                <w:szCs w:val="18"/>
              </w:rPr>
            </w:pPr>
          </w:p>
        </w:tc>
        <w:tc>
          <w:tcPr>
            <w:tcW w:w="6582" w:type="dxa"/>
            <w:gridSpan w:val="2"/>
          </w:tcPr>
          <w:p w:rsidR="00DE0E49" w:rsidRDefault="00DE0E49">
            <w:pPr>
              <w:spacing w:after="0" w:line="360" w:lineRule="auto"/>
              <w:jc w:val="both"/>
              <w:rPr>
                <w:rFonts w:ascii="Arial" w:eastAsia="Times New Roman" w:hAnsi="Arial" w:cs="Arial"/>
                <w:sz w:val="24"/>
                <w:szCs w:val="24"/>
                <w:lang w:eastAsia="en-GB"/>
              </w:rPr>
            </w:pPr>
          </w:p>
        </w:tc>
      </w:tr>
      <w:tr w:rsidR="00DE0E49" w:rsidRPr="00CB634D" w:rsidTr="00DE0E49">
        <w:trPr>
          <w:trHeight w:val="444"/>
        </w:trPr>
        <w:tc>
          <w:tcPr>
            <w:tcW w:w="10065" w:type="dxa"/>
            <w:gridSpan w:val="4"/>
            <w:hideMark/>
          </w:tcPr>
          <w:p w:rsidR="00DE0E49" w:rsidRPr="00DE0E49" w:rsidRDefault="00DE0E49">
            <w:pPr>
              <w:spacing w:after="0" w:line="360" w:lineRule="auto"/>
              <w:jc w:val="center"/>
              <w:rPr>
                <w:rFonts w:ascii="Arial" w:eastAsia="Times New Roman" w:hAnsi="Arial" w:cs="Arial"/>
                <w:sz w:val="24"/>
                <w:szCs w:val="24"/>
                <w:lang w:val="el-GR" w:eastAsia="en-GB"/>
              </w:rPr>
            </w:pPr>
            <w:r w:rsidRPr="00DE0E49">
              <w:rPr>
                <w:rFonts w:ascii="Arial" w:hAnsi="Arial" w:cs="Arial"/>
                <w:sz w:val="24"/>
                <w:szCs w:val="24"/>
                <w:lang w:val="el-GR"/>
              </w:rPr>
              <w:t>ΝΟΜΟΣ ΠΟΥ ΤΡΟΠΟΠΟΙΕΙ ΤΟΥΣ ΠΕΡΙ  ΑΞΙΩΝ ΚΑΙ ΧΡΗΜΑΤΙΣΤΗΡΙΟΥ ΑΞΙΩΝ ΚΥΠΡΟΥ ΝΟΜΟΥΣ ΤΟΥ 1993 ΕΩΣ 2020</w:t>
            </w:r>
          </w:p>
        </w:tc>
      </w:tr>
      <w:tr w:rsidR="00DE0E49" w:rsidRPr="00CB634D" w:rsidTr="00DE0E49">
        <w:trPr>
          <w:trHeight w:val="444"/>
        </w:trPr>
        <w:tc>
          <w:tcPr>
            <w:tcW w:w="1745" w:type="dxa"/>
          </w:tcPr>
          <w:p w:rsidR="00DE0E49" w:rsidRPr="00DE0E49" w:rsidRDefault="00DE0E49">
            <w:pPr>
              <w:spacing w:after="160" w:line="256" w:lineRule="auto"/>
              <w:rPr>
                <w:rFonts w:ascii="Arial" w:eastAsia="Times New Roman" w:hAnsi="Arial" w:cs="Arial"/>
                <w:sz w:val="20"/>
                <w:szCs w:val="20"/>
                <w:lang w:val="el-GR" w:eastAsia="el-GR"/>
              </w:rPr>
            </w:pPr>
          </w:p>
        </w:tc>
        <w:tc>
          <w:tcPr>
            <w:tcW w:w="1738" w:type="dxa"/>
          </w:tcPr>
          <w:p w:rsidR="00DE0E49" w:rsidRPr="00DE0E49" w:rsidRDefault="00DE0E49">
            <w:pPr>
              <w:spacing w:after="160" w:line="256" w:lineRule="auto"/>
              <w:jc w:val="both"/>
              <w:rPr>
                <w:rFonts w:ascii="Arial" w:hAnsi="Arial" w:cs="Arial"/>
                <w:sz w:val="18"/>
                <w:szCs w:val="18"/>
                <w:lang w:val="el-GR"/>
              </w:rPr>
            </w:pPr>
          </w:p>
        </w:tc>
        <w:tc>
          <w:tcPr>
            <w:tcW w:w="6582" w:type="dxa"/>
            <w:gridSpan w:val="2"/>
          </w:tcPr>
          <w:p w:rsidR="00DE0E49" w:rsidRPr="00DE0E49" w:rsidRDefault="00DE0E49">
            <w:pPr>
              <w:spacing w:after="0" w:line="360" w:lineRule="auto"/>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160" w:line="256" w:lineRule="auto"/>
              <w:rPr>
                <w:rFonts w:ascii="Arial" w:eastAsia="Times New Roman" w:hAnsi="Arial" w:cs="Arial"/>
                <w:sz w:val="20"/>
                <w:szCs w:val="20"/>
                <w:lang w:val="el-GR" w:eastAsia="el-GR"/>
              </w:rPr>
            </w:pPr>
          </w:p>
        </w:tc>
        <w:tc>
          <w:tcPr>
            <w:tcW w:w="1738" w:type="dxa"/>
          </w:tcPr>
          <w:p w:rsidR="00DE0E49" w:rsidRPr="00DE0E49" w:rsidRDefault="00DE0E49">
            <w:pPr>
              <w:spacing w:after="160" w:line="256" w:lineRule="auto"/>
              <w:jc w:val="both"/>
              <w:rPr>
                <w:rFonts w:ascii="Arial" w:hAnsi="Arial" w:cs="Arial"/>
                <w:sz w:val="18"/>
                <w:szCs w:val="18"/>
                <w:lang w:val="el-GR"/>
              </w:rPr>
            </w:pPr>
          </w:p>
        </w:tc>
        <w:tc>
          <w:tcPr>
            <w:tcW w:w="6582" w:type="dxa"/>
            <w:gridSpan w:val="2"/>
          </w:tcPr>
          <w:p w:rsidR="00DE0E49" w:rsidRPr="00DE0E49" w:rsidRDefault="00DE0E49">
            <w:pPr>
              <w:spacing w:after="0" w:line="360" w:lineRule="auto"/>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160" w:line="256" w:lineRule="auto"/>
              <w:rPr>
                <w:rFonts w:ascii="Arial" w:eastAsia="Times New Roman" w:hAnsi="Arial" w:cs="Arial"/>
                <w:sz w:val="20"/>
                <w:szCs w:val="20"/>
                <w:lang w:val="el-GR" w:eastAsia="el-GR"/>
              </w:rPr>
            </w:pPr>
          </w:p>
        </w:tc>
        <w:tc>
          <w:tcPr>
            <w:tcW w:w="8320" w:type="dxa"/>
            <w:gridSpan w:val="3"/>
            <w:hideMark/>
          </w:tcPr>
          <w:p w:rsidR="00DE0E49" w:rsidRPr="00DE0E49" w:rsidRDefault="00DE0E49">
            <w:pPr>
              <w:pStyle w:val="ListParagraph"/>
              <w:tabs>
                <w:tab w:val="left" w:pos="342"/>
              </w:tabs>
              <w:ind w:left="58"/>
              <w:jc w:val="both"/>
              <w:rPr>
                <w:rFonts w:ascii="Arial" w:eastAsia="Times New Roman" w:hAnsi="Arial" w:cs="Arial"/>
                <w:sz w:val="24"/>
                <w:szCs w:val="24"/>
                <w:lang w:val="el-GR" w:eastAsia="en-GB"/>
              </w:rPr>
            </w:pPr>
            <w:r w:rsidRPr="00DE0E49">
              <w:rPr>
                <w:rFonts w:ascii="Arial" w:hAnsi="Arial" w:cs="Arial"/>
                <w:sz w:val="24"/>
                <w:szCs w:val="24"/>
                <w:lang w:val="el-GR"/>
              </w:rPr>
              <w:t xml:space="preserve">Για σκοπούς αποτελεσματικής εφαρμογής του βασικού νόμου, </w:t>
            </w:r>
          </w:p>
        </w:tc>
      </w:tr>
      <w:tr w:rsidR="00DE0E49" w:rsidRPr="00CB634D" w:rsidTr="00DE0E49">
        <w:trPr>
          <w:trHeight w:val="444"/>
        </w:trPr>
        <w:tc>
          <w:tcPr>
            <w:tcW w:w="1745" w:type="dxa"/>
          </w:tcPr>
          <w:p w:rsidR="00DE0E49" w:rsidRPr="00DE0E49" w:rsidRDefault="00DE0E49">
            <w:pPr>
              <w:spacing w:after="160" w:line="256" w:lineRule="auto"/>
              <w:rPr>
                <w:rFonts w:ascii="Arial" w:eastAsia="Times New Roman" w:hAnsi="Arial" w:cs="Arial"/>
                <w:sz w:val="20"/>
                <w:szCs w:val="20"/>
                <w:lang w:val="el-GR" w:eastAsia="el-GR"/>
              </w:rPr>
            </w:pPr>
          </w:p>
        </w:tc>
        <w:tc>
          <w:tcPr>
            <w:tcW w:w="1738" w:type="dxa"/>
          </w:tcPr>
          <w:p w:rsidR="00DE0E49" w:rsidRPr="00DE0E49" w:rsidRDefault="00DE0E49">
            <w:pPr>
              <w:spacing w:after="160" w:line="256" w:lineRule="auto"/>
              <w:jc w:val="both"/>
              <w:rPr>
                <w:rFonts w:ascii="Arial" w:hAnsi="Arial" w:cs="Arial"/>
                <w:sz w:val="18"/>
                <w:szCs w:val="18"/>
                <w:lang w:val="el-GR"/>
              </w:rPr>
            </w:pPr>
          </w:p>
        </w:tc>
        <w:tc>
          <w:tcPr>
            <w:tcW w:w="6582" w:type="dxa"/>
            <w:gridSpan w:val="2"/>
          </w:tcPr>
          <w:p w:rsidR="00DE0E49" w:rsidRPr="00DE0E49" w:rsidRDefault="00DE0E49">
            <w:pPr>
              <w:spacing w:after="0" w:line="360" w:lineRule="auto"/>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160" w:line="256" w:lineRule="auto"/>
              <w:rPr>
                <w:rFonts w:ascii="Arial" w:eastAsia="Times New Roman" w:hAnsi="Arial" w:cs="Arial"/>
                <w:sz w:val="20"/>
                <w:szCs w:val="20"/>
                <w:lang w:val="el-GR" w:eastAsia="el-GR"/>
              </w:rPr>
            </w:pPr>
          </w:p>
        </w:tc>
        <w:tc>
          <w:tcPr>
            <w:tcW w:w="8320" w:type="dxa"/>
            <w:gridSpan w:val="3"/>
            <w:hideMark/>
          </w:tcPr>
          <w:p w:rsidR="00DE0E49" w:rsidRPr="00DE0E49" w:rsidRDefault="00DE0E49">
            <w:pPr>
              <w:pStyle w:val="ListParagraph"/>
              <w:tabs>
                <w:tab w:val="left" w:pos="342"/>
              </w:tabs>
              <w:ind w:left="58"/>
              <w:jc w:val="both"/>
              <w:rPr>
                <w:rFonts w:ascii="Arial" w:eastAsia="Times New Roman" w:hAnsi="Arial" w:cs="Arial"/>
                <w:sz w:val="24"/>
                <w:szCs w:val="24"/>
                <w:lang w:val="el-GR" w:eastAsia="en-GB"/>
              </w:rPr>
            </w:pPr>
            <w:r w:rsidRPr="00DE0E49">
              <w:rPr>
                <w:rFonts w:ascii="Arial" w:hAnsi="Arial" w:cs="Arial"/>
                <w:sz w:val="24"/>
                <w:szCs w:val="24"/>
                <w:lang w:val="el-GR"/>
              </w:rPr>
              <w:t>η Βουλή των Αντιπροσώπων ψηφίζει ως ακολούθως:</w:t>
            </w:r>
          </w:p>
        </w:tc>
      </w:tr>
      <w:tr w:rsidR="00DE0E49" w:rsidRPr="00CB634D" w:rsidTr="00DE0E49">
        <w:trPr>
          <w:trHeight w:val="444"/>
        </w:trPr>
        <w:tc>
          <w:tcPr>
            <w:tcW w:w="1745" w:type="dxa"/>
          </w:tcPr>
          <w:p w:rsidR="00DE0E49" w:rsidRPr="00DE0E49" w:rsidRDefault="00DE0E49">
            <w:pPr>
              <w:spacing w:after="160" w:line="256" w:lineRule="auto"/>
              <w:rPr>
                <w:rFonts w:ascii="Arial" w:eastAsia="Times New Roman" w:hAnsi="Arial" w:cs="Arial"/>
                <w:sz w:val="20"/>
                <w:szCs w:val="20"/>
                <w:lang w:val="el-GR" w:eastAsia="el-GR"/>
              </w:rPr>
            </w:pPr>
          </w:p>
        </w:tc>
        <w:tc>
          <w:tcPr>
            <w:tcW w:w="1738" w:type="dxa"/>
          </w:tcPr>
          <w:p w:rsidR="00DE0E49" w:rsidRPr="00DE0E49" w:rsidRDefault="00DE0E49">
            <w:pPr>
              <w:spacing w:after="160" w:line="256" w:lineRule="auto"/>
              <w:jc w:val="both"/>
              <w:rPr>
                <w:rFonts w:ascii="Arial" w:hAnsi="Arial" w:cs="Arial"/>
                <w:sz w:val="18"/>
                <w:szCs w:val="18"/>
                <w:lang w:val="el-GR"/>
              </w:rPr>
            </w:pPr>
          </w:p>
        </w:tc>
        <w:tc>
          <w:tcPr>
            <w:tcW w:w="6582" w:type="dxa"/>
            <w:gridSpan w:val="2"/>
          </w:tcPr>
          <w:p w:rsidR="00DE0E49" w:rsidRPr="00DE0E49" w:rsidRDefault="00DE0E49">
            <w:pPr>
              <w:spacing w:after="0" w:line="360" w:lineRule="auto"/>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Συνοπτικός τίτλος</w:t>
            </w:r>
          </w:p>
          <w:p w:rsidR="00DE0E49" w:rsidRPr="00DE0E49" w:rsidRDefault="00DE0E49">
            <w:pPr>
              <w:spacing w:after="0" w:line="240" w:lineRule="auto"/>
              <w:jc w:val="right"/>
              <w:rPr>
                <w:rFonts w:ascii="Arial" w:hAnsi="Arial" w:cs="Arial"/>
                <w:sz w:val="20"/>
                <w:szCs w:val="20"/>
                <w:lang w:val="el-GR"/>
              </w:rPr>
            </w:pP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14(Ι)  του  1993</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32(Ι)  του  1993</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91(Ι)  του  1994</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45(Ι)  του  1995</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74(Ι)  του  1995</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50(Ι)  του  1996</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16(Ι)  του  1997</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62(Ι)  του  1997</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71(Ι)  του  1997</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83(Ι)  του  1997</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29(Ι)  του  1998</w:t>
            </w:r>
          </w:p>
          <w:p w:rsidR="00DE0E49" w:rsidRPr="00DE0E49" w:rsidRDefault="00DE0E49" w:rsidP="00DE0E49">
            <w:pPr>
              <w:spacing w:after="0" w:line="240" w:lineRule="auto"/>
              <w:jc w:val="right"/>
              <w:rPr>
                <w:rFonts w:ascii="Arial" w:hAnsi="Arial" w:cs="Arial"/>
                <w:sz w:val="20"/>
                <w:szCs w:val="20"/>
                <w:lang w:val="el-GR"/>
              </w:rPr>
            </w:pPr>
            <w:r w:rsidRPr="00DE0E49">
              <w:rPr>
                <w:rFonts w:ascii="Arial" w:hAnsi="Arial" w:cs="Arial"/>
                <w:sz w:val="20"/>
                <w:szCs w:val="20"/>
                <w:lang w:val="el-GR"/>
              </w:rPr>
              <w:t xml:space="preserve">137(Ι)  του </w:t>
            </w:r>
            <w:r>
              <w:rPr>
                <w:rFonts w:ascii="Arial" w:hAnsi="Arial" w:cs="Arial"/>
                <w:sz w:val="20"/>
                <w:szCs w:val="20"/>
                <w:lang w:val="el-GR"/>
              </w:rPr>
              <w:t>1</w:t>
            </w:r>
            <w:r w:rsidRPr="00DE0E49">
              <w:rPr>
                <w:rFonts w:ascii="Arial" w:hAnsi="Arial" w:cs="Arial"/>
                <w:sz w:val="20"/>
                <w:szCs w:val="20"/>
                <w:lang w:val="el-GR"/>
              </w:rPr>
              <w:t>999</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19(Ι)  του  2000</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20(Ι)  του  2000</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39(Ι)  του  2000</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42(Ι)  του  2000</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49(Ι)  του  2000</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50(Ι)  του  2000</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136(Ι)  του 2000</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137(Ι)  του 2000</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141(Ι)  του 2000</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142(Ι)  του 2000</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175(Ι)  του 2000</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 xml:space="preserve">    9(Ι) του  2001</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lastRenderedPageBreak/>
              <w:t>37(Ι) του  2001</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43(Ι) του  2001</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66(Ι) του  2001</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79(Ι) του  2001</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80(Ι) του  2001</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81(Ι) του  2001</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82(Ι) του  2001</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105(Ι) του  2001</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119(Ι) του  2001</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120(Ι) του  2001</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 xml:space="preserve">    1(Ι)  του 2002</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 xml:space="preserve">  87(Ι)  του 2002</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147(ι)  του 2002</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162(Ι)  του 2002</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184(Ι)  του 2003</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164(Ι)  του 2004</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205(Ι)  του 2004</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 xml:space="preserve">  43(Ι)  του 2005</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 xml:space="preserve">  99(Ι)  του 2005</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115(Ι)  του 2005</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 xml:space="preserve">  93(Ι)  του 2006</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28(Ι) του 2007</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56(Ι) του 2009</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90(Ι) του 2009</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171(</w:t>
            </w:r>
            <w:r>
              <w:rPr>
                <w:rFonts w:ascii="Arial" w:hAnsi="Arial" w:cs="Arial"/>
                <w:sz w:val="20"/>
                <w:szCs w:val="20"/>
              </w:rPr>
              <w:t>I</w:t>
            </w:r>
            <w:r w:rsidRPr="00DE0E49">
              <w:rPr>
                <w:rFonts w:ascii="Arial" w:hAnsi="Arial" w:cs="Arial"/>
                <w:sz w:val="20"/>
                <w:szCs w:val="20"/>
                <w:lang w:val="el-GR"/>
              </w:rPr>
              <w:t>) του 2012</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153(</w:t>
            </w:r>
            <w:r>
              <w:rPr>
                <w:rFonts w:ascii="Arial" w:hAnsi="Arial" w:cs="Arial"/>
                <w:sz w:val="20"/>
                <w:szCs w:val="20"/>
              </w:rPr>
              <w:t>I</w:t>
            </w:r>
            <w:r w:rsidRPr="00DE0E49">
              <w:rPr>
                <w:rFonts w:ascii="Arial" w:hAnsi="Arial" w:cs="Arial"/>
                <w:sz w:val="20"/>
                <w:szCs w:val="20"/>
                <w:lang w:val="el-GR"/>
              </w:rPr>
              <w:t>) του 2015</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154(Ι) του 2015</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153(Ι) του 2017</w:t>
            </w:r>
          </w:p>
          <w:p w:rsidR="00DE0E49" w:rsidRPr="00DE0E49" w:rsidRDefault="00DE0E49">
            <w:pPr>
              <w:spacing w:after="0" w:line="240" w:lineRule="auto"/>
              <w:jc w:val="right"/>
              <w:rPr>
                <w:rFonts w:ascii="Arial" w:hAnsi="Arial" w:cs="Arial"/>
                <w:sz w:val="20"/>
                <w:szCs w:val="20"/>
                <w:lang w:val="el-GR"/>
              </w:rPr>
            </w:pPr>
            <w:r w:rsidRPr="00DE0E49">
              <w:rPr>
                <w:rFonts w:ascii="Arial" w:hAnsi="Arial" w:cs="Arial"/>
                <w:sz w:val="20"/>
                <w:szCs w:val="20"/>
                <w:lang w:val="el-GR"/>
              </w:rPr>
              <w:t>99(Ι) του 2020.</w:t>
            </w:r>
          </w:p>
        </w:tc>
        <w:tc>
          <w:tcPr>
            <w:tcW w:w="8320" w:type="dxa"/>
            <w:gridSpan w:val="3"/>
            <w:hideMark/>
          </w:tcPr>
          <w:p w:rsidR="00DE0E49" w:rsidRPr="00DE0E49" w:rsidRDefault="00DE0E49" w:rsidP="00DE0E49">
            <w:pPr>
              <w:pStyle w:val="ListParagraph"/>
              <w:numPr>
                <w:ilvl w:val="0"/>
                <w:numId w:val="12"/>
              </w:numPr>
              <w:spacing w:after="0" w:line="360" w:lineRule="auto"/>
              <w:jc w:val="both"/>
              <w:rPr>
                <w:rFonts w:ascii="Arial" w:eastAsia="Times New Roman" w:hAnsi="Arial" w:cs="Arial"/>
                <w:sz w:val="24"/>
                <w:szCs w:val="24"/>
                <w:lang w:val="el-GR" w:eastAsia="en-GB"/>
              </w:rPr>
            </w:pPr>
            <w:r w:rsidRPr="00DE0E49">
              <w:rPr>
                <w:rFonts w:ascii="Arial" w:hAnsi="Arial" w:cs="Arial"/>
                <w:sz w:val="24"/>
                <w:szCs w:val="24"/>
                <w:lang w:val="el-GR"/>
              </w:rPr>
              <w:lastRenderedPageBreak/>
              <w:t>Ο παρών Νόμος θα αναφέρεται ως ο περί Αξιών και Χρηματιστηρίου Αξιών Κύπρου (Τροποποιητικός) Νόμος του 2021 και θα διαβάζεται μαζί με τους περί Αξιών και Χρηματιστηρίου Αξιών Κύπρου Νόμους του 1993 έως 2020 (που στο εξής θα αναφέρονται ως «ο βασικός νόμος») και ο βασικός νόμος και ο παρών Νόμος θα αναφέρονται μαζί ως οι περί Αξιών και Χρηματιστηρίου Αξιών Κύπρου Νόμοι του 1993 έως 2021.</w:t>
            </w:r>
          </w:p>
        </w:tc>
      </w:tr>
      <w:tr w:rsidR="00DE0E49" w:rsidRPr="00CB634D" w:rsidTr="00DE0E49">
        <w:trPr>
          <w:trHeight w:val="444"/>
        </w:trPr>
        <w:tc>
          <w:tcPr>
            <w:tcW w:w="1745" w:type="dxa"/>
          </w:tcPr>
          <w:p w:rsidR="00DE0E49" w:rsidRPr="00DE0E49" w:rsidRDefault="00DE0E49">
            <w:pPr>
              <w:spacing w:after="160" w:line="256" w:lineRule="auto"/>
              <w:rPr>
                <w:rFonts w:ascii="Arial" w:eastAsia="Times New Roman" w:hAnsi="Arial" w:cs="Arial"/>
                <w:sz w:val="20"/>
                <w:szCs w:val="20"/>
                <w:lang w:val="el-GR" w:eastAsia="el-GR"/>
              </w:rPr>
            </w:pPr>
          </w:p>
        </w:tc>
        <w:tc>
          <w:tcPr>
            <w:tcW w:w="1738" w:type="dxa"/>
          </w:tcPr>
          <w:p w:rsidR="00DE0E49" w:rsidRPr="00DE0E49" w:rsidRDefault="00DE0E49">
            <w:pPr>
              <w:spacing w:after="160" w:line="256" w:lineRule="auto"/>
              <w:jc w:val="both"/>
              <w:rPr>
                <w:rFonts w:ascii="Arial" w:hAnsi="Arial" w:cs="Arial"/>
                <w:sz w:val="18"/>
                <w:szCs w:val="18"/>
                <w:lang w:val="el-GR"/>
              </w:rPr>
            </w:pPr>
          </w:p>
        </w:tc>
        <w:tc>
          <w:tcPr>
            <w:tcW w:w="6582" w:type="dxa"/>
            <w:gridSpan w:val="2"/>
          </w:tcPr>
          <w:p w:rsidR="00DE0E49" w:rsidRPr="00DE0E49" w:rsidRDefault="00DE0E49">
            <w:pPr>
              <w:spacing w:after="0" w:line="360" w:lineRule="auto"/>
              <w:jc w:val="both"/>
              <w:rPr>
                <w:rFonts w:ascii="Arial" w:eastAsia="Times New Roman" w:hAnsi="Arial" w:cs="Arial"/>
                <w:sz w:val="24"/>
                <w:szCs w:val="24"/>
                <w:lang w:val="el-GR" w:eastAsia="en-GB"/>
              </w:rPr>
            </w:pPr>
          </w:p>
        </w:tc>
      </w:tr>
      <w:tr w:rsidR="00DE0E49" w:rsidRPr="00CB634D" w:rsidTr="00DE0E49">
        <w:trPr>
          <w:trHeight w:val="444"/>
        </w:trPr>
        <w:tc>
          <w:tcPr>
            <w:tcW w:w="1745" w:type="dxa"/>
            <w:hideMark/>
          </w:tcPr>
          <w:p w:rsidR="00DE0E49" w:rsidRPr="00DE0E49" w:rsidRDefault="00DE0E49">
            <w:pPr>
              <w:spacing w:after="160" w:line="256" w:lineRule="auto"/>
              <w:rPr>
                <w:rFonts w:ascii="Arial" w:eastAsia="Times New Roman" w:hAnsi="Arial" w:cs="Arial"/>
                <w:sz w:val="20"/>
                <w:szCs w:val="20"/>
                <w:lang w:val="el-GR" w:eastAsia="el-GR"/>
              </w:rPr>
            </w:pPr>
            <w:r w:rsidRPr="00DE0E49">
              <w:rPr>
                <w:rFonts w:ascii="Arial" w:eastAsia="Times New Roman" w:hAnsi="Arial" w:cs="Arial"/>
                <w:sz w:val="20"/>
                <w:szCs w:val="20"/>
                <w:lang w:val="el-GR" w:eastAsia="el-GR"/>
              </w:rPr>
              <w:t>Τροποποίηση του άρθρου  17 του βασικού νόμου.</w:t>
            </w:r>
          </w:p>
        </w:tc>
        <w:tc>
          <w:tcPr>
            <w:tcW w:w="8320" w:type="dxa"/>
            <w:gridSpan w:val="3"/>
            <w:hideMark/>
          </w:tcPr>
          <w:p w:rsidR="00DE0E49" w:rsidRPr="00DE0E49" w:rsidRDefault="00DE0E49" w:rsidP="00DE0E49">
            <w:pPr>
              <w:pStyle w:val="ListParagraph"/>
              <w:numPr>
                <w:ilvl w:val="0"/>
                <w:numId w:val="10"/>
              </w:numPr>
              <w:spacing w:after="0" w:line="360" w:lineRule="auto"/>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Το εδάφιο (2) του άρθρου 17 του βασικού νόμου τροποποιείται με την αντικατάσταση, της φράσης «των άρθρων 10(2)(ε), 22(3), 27(1)(γ), 28, 29, 30, 34, 64 και 66(2) του παρόντος Νόμου.» (δεύτερη και τρίτη γραμμή) με τη φράση «των άρθρων 10(2)(ε), 21(2), 34, 64 και 66(2) του παρόντος Νόμου».</w:t>
            </w:r>
          </w:p>
        </w:tc>
      </w:tr>
      <w:tr w:rsidR="00DE0E49" w:rsidRPr="00CB634D" w:rsidTr="00DE0E49">
        <w:trPr>
          <w:trHeight w:val="444"/>
        </w:trPr>
        <w:tc>
          <w:tcPr>
            <w:tcW w:w="1745" w:type="dxa"/>
          </w:tcPr>
          <w:p w:rsidR="00DE0E49" w:rsidRPr="00DE0E49" w:rsidRDefault="00DE0E49">
            <w:pPr>
              <w:spacing w:after="160" w:line="256" w:lineRule="auto"/>
              <w:rPr>
                <w:rFonts w:ascii="Arial" w:eastAsia="Times New Roman" w:hAnsi="Arial" w:cs="Arial"/>
                <w:sz w:val="20"/>
                <w:szCs w:val="20"/>
                <w:lang w:val="el-GR" w:eastAsia="el-GR"/>
              </w:rPr>
            </w:pPr>
          </w:p>
        </w:tc>
        <w:tc>
          <w:tcPr>
            <w:tcW w:w="1738" w:type="dxa"/>
          </w:tcPr>
          <w:p w:rsidR="00DE0E49" w:rsidRPr="00DE0E49" w:rsidRDefault="00DE0E49">
            <w:pPr>
              <w:spacing w:after="160" w:line="256" w:lineRule="auto"/>
              <w:jc w:val="both"/>
              <w:rPr>
                <w:rFonts w:ascii="Arial" w:hAnsi="Arial" w:cs="Arial"/>
                <w:sz w:val="18"/>
                <w:szCs w:val="18"/>
                <w:lang w:val="el-GR"/>
              </w:rPr>
            </w:pPr>
          </w:p>
        </w:tc>
        <w:tc>
          <w:tcPr>
            <w:tcW w:w="6582" w:type="dxa"/>
            <w:gridSpan w:val="2"/>
          </w:tcPr>
          <w:p w:rsidR="00DE0E49" w:rsidRPr="00DE0E49" w:rsidRDefault="00DE0E49">
            <w:pPr>
              <w:spacing w:after="0" w:line="360" w:lineRule="auto"/>
              <w:jc w:val="both"/>
              <w:rPr>
                <w:rFonts w:ascii="Arial" w:eastAsia="Times New Roman" w:hAnsi="Arial" w:cs="Arial"/>
                <w:sz w:val="24"/>
                <w:szCs w:val="24"/>
                <w:lang w:val="el-GR" w:eastAsia="en-GB"/>
              </w:rPr>
            </w:pPr>
          </w:p>
        </w:tc>
      </w:tr>
      <w:tr w:rsidR="00DE0E49" w:rsidRPr="00CB634D" w:rsidTr="00DE0E49">
        <w:trPr>
          <w:trHeight w:val="444"/>
        </w:trPr>
        <w:tc>
          <w:tcPr>
            <w:tcW w:w="1745" w:type="dxa"/>
            <w:hideMark/>
          </w:tcPr>
          <w:p w:rsidR="00DE0E49" w:rsidRPr="00DE0E49" w:rsidRDefault="00DE0E49">
            <w:pPr>
              <w:spacing w:after="160" w:line="256" w:lineRule="auto"/>
              <w:rPr>
                <w:rFonts w:ascii="Arial" w:eastAsia="Times New Roman" w:hAnsi="Arial" w:cs="Arial"/>
                <w:sz w:val="20"/>
                <w:szCs w:val="20"/>
                <w:lang w:val="el-GR" w:eastAsia="el-GR"/>
              </w:rPr>
            </w:pPr>
            <w:r w:rsidRPr="00DE0E49">
              <w:rPr>
                <w:rFonts w:ascii="Arial" w:hAnsi="Arial" w:cs="Arial"/>
                <w:sz w:val="20"/>
                <w:szCs w:val="20"/>
                <w:lang w:val="el-GR"/>
              </w:rPr>
              <w:t xml:space="preserve">Αντικατάσταση του Μέρους </w:t>
            </w:r>
            <w:r>
              <w:rPr>
                <w:rFonts w:ascii="Arial" w:hAnsi="Arial" w:cs="Arial"/>
                <w:sz w:val="20"/>
                <w:szCs w:val="20"/>
              </w:rPr>
              <w:t>V</w:t>
            </w:r>
            <w:r w:rsidRPr="00DE0E49">
              <w:rPr>
                <w:rFonts w:ascii="Arial" w:hAnsi="Arial" w:cs="Arial"/>
                <w:sz w:val="20"/>
                <w:szCs w:val="20"/>
                <w:lang w:val="el-GR"/>
              </w:rPr>
              <w:t xml:space="preserve"> του βασικού νόμου.</w:t>
            </w:r>
          </w:p>
        </w:tc>
        <w:tc>
          <w:tcPr>
            <w:tcW w:w="8320" w:type="dxa"/>
            <w:gridSpan w:val="3"/>
            <w:hideMark/>
          </w:tcPr>
          <w:p w:rsidR="00DE0E49" w:rsidRPr="00DE0E49" w:rsidRDefault="00DE0E49" w:rsidP="00DE0E49">
            <w:pPr>
              <w:pStyle w:val="ListParagraph"/>
              <w:numPr>
                <w:ilvl w:val="0"/>
                <w:numId w:val="10"/>
              </w:numPr>
              <w:spacing w:after="0" w:line="360" w:lineRule="auto"/>
              <w:jc w:val="both"/>
              <w:rPr>
                <w:rFonts w:ascii="Arial" w:eastAsia="Times New Roman" w:hAnsi="Arial" w:cs="Arial"/>
                <w:sz w:val="24"/>
                <w:szCs w:val="24"/>
                <w:lang w:val="el-GR" w:eastAsia="en-GB"/>
              </w:rPr>
            </w:pPr>
            <w:r w:rsidRPr="00DE0E49">
              <w:rPr>
                <w:rFonts w:ascii="Arial" w:hAnsi="Arial" w:cs="Arial"/>
                <w:sz w:val="24"/>
                <w:szCs w:val="24"/>
                <w:lang w:val="el-GR"/>
              </w:rPr>
              <w:t xml:space="preserve">Το Μέρος </w:t>
            </w:r>
            <w:r>
              <w:rPr>
                <w:rFonts w:ascii="Arial" w:hAnsi="Arial" w:cs="Arial"/>
                <w:sz w:val="24"/>
                <w:szCs w:val="24"/>
              </w:rPr>
              <w:t>V</w:t>
            </w:r>
            <w:r w:rsidRPr="00DE0E49">
              <w:rPr>
                <w:rFonts w:ascii="Arial" w:hAnsi="Arial" w:cs="Arial"/>
                <w:sz w:val="24"/>
                <w:szCs w:val="24"/>
                <w:lang w:val="el-GR"/>
              </w:rPr>
              <w:t xml:space="preserve"> του βασικού νόμου και ο τίτλος αυτού αντικαθίσταται ως ακολούθως:</w:t>
            </w:r>
          </w:p>
        </w:tc>
      </w:tr>
      <w:tr w:rsidR="00DE0E49" w:rsidRPr="00CB634D" w:rsidTr="00DE0E49">
        <w:trPr>
          <w:trHeight w:val="444"/>
        </w:trPr>
        <w:tc>
          <w:tcPr>
            <w:tcW w:w="1745" w:type="dxa"/>
          </w:tcPr>
          <w:p w:rsidR="00DE0E49" w:rsidRPr="00DE0E49" w:rsidRDefault="00DE0E49">
            <w:pPr>
              <w:spacing w:after="160" w:line="256" w:lineRule="auto"/>
              <w:rPr>
                <w:rFonts w:ascii="Arial" w:eastAsia="Times New Roman" w:hAnsi="Arial" w:cs="Arial"/>
                <w:sz w:val="20"/>
                <w:szCs w:val="20"/>
                <w:lang w:val="el-GR" w:eastAsia="el-GR"/>
              </w:rPr>
            </w:pPr>
          </w:p>
        </w:tc>
        <w:tc>
          <w:tcPr>
            <w:tcW w:w="1738" w:type="dxa"/>
          </w:tcPr>
          <w:p w:rsidR="00DE0E49" w:rsidRPr="00DE0E49" w:rsidRDefault="00DE0E49">
            <w:pPr>
              <w:spacing w:after="160" w:line="256" w:lineRule="auto"/>
              <w:jc w:val="both"/>
              <w:rPr>
                <w:rFonts w:ascii="Arial" w:hAnsi="Arial" w:cs="Arial"/>
                <w:sz w:val="18"/>
                <w:szCs w:val="18"/>
                <w:lang w:val="el-GR"/>
              </w:rPr>
            </w:pPr>
          </w:p>
        </w:tc>
        <w:tc>
          <w:tcPr>
            <w:tcW w:w="6582" w:type="dxa"/>
            <w:gridSpan w:val="2"/>
          </w:tcPr>
          <w:p w:rsidR="00DE0E49" w:rsidRPr="00DE0E49" w:rsidRDefault="00DE0E49">
            <w:pPr>
              <w:spacing w:after="0" w:line="360" w:lineRule="auto"/>
              <w:jc w:val="both"/>
              <w:rPr>
                <w:rFonts w:ascii="Arial" w:eastAsia="Times New Roman" w:hAnsi="Arial" w:cs="Arial"/>
                <w:sz w:val="24"/>
                <w:szCs w:val="24"/>
                <w:lang w:val="el-GR" w:eastAsia="en-GB"/>
              </w:rPr>
            </w:pPr>
          </w:p>
        </w:tc>
      </w:tr>
      <w:tr w:rsidR="00DE0E49" w:rsidTr="00DE0E49">
        <w:trPr>
          <w:trHeight w:val="785"/>
        </w:trPr>
        <w:tc>
          <w:tcPr>
            <w:tcW w:w="1745" w:type="dxa"/>
          </w:tcPr>
          <w:p w:rsidR="00DE0E49" w:rsidRPr="00DE0E49" w:rsidRDefault="00DE0E49">
            <w:pPr>
              <w:spacing w:after="160" w:line="256" w:lineRule="auto"/>
              <w:rPr>
                <w:rFonts w:ascii="Arial" w:eastAsia="Times New Roman" w:hAnsi="Arial" w:cs="Arial"/>
                <w:sz w:val="20"/>
                <w:szCs w:val="20"/>
                <w:lang w:val="el-GR" w:eastAsia="el-GR"/>
              </w:rPr>
            </w:pPr>
          </w:p>
        </w:tc>
        <w:tc>
          <w:tcPr>
            <w:tcW w:w="8320" w:type="dxa"/>
            <w:gridSpan w:val="3"/>
            <w:hideMark/>
          </w:tcPr>
          <w:p w:rsidR="00DE0E49" w:rsidRDefault="00DE0E49">
            <w:pPr>
              <w:rPr>
                <w:rFonts w:ascii="Arial" w:hAnsi="Arial" w:cs="Arial"/>
                <w:bCs/>
              </w:rPr>
            </w:pPr>
            <w:r w:rsidRPr="00DE0E49">
              <w:rPr>
                <w:rFonts w:ascii="Arial" w:hAnsi="Arial" w:cs="Arial"/>
                <w:bCs/>
                <w:lang w:val="el-GR"/>
              </w:rPr>
              <w:t xml:space="preserve">                                                            </w:t>
            </w:r>
            <w:r>
              <w:rPr>
                <w:rFonts w:ascii="Arial" w:hAnsi="Arial" w:cs="Arial"/>
                <w:bCs/>
              </w:rPr>
              <w:t>«ΜΕΡΟΣ V</w:t>
            </w:r>
          </w:p>
          <w:p w:rsidR="00DE0E49" w:rsidRDefault="00DE0E49">
            <w:pPr>
              <w:spacing w:after="160" w:line="256" w:lineRule="auto"/>
              <w:jc w:val="center"/>
              <w:rPr>
                <w:rFonts w:ascii="Arial" w:eastAsia="Times New Roman" w:hAnsi="Arial" w:cs="Arial"/>
                <w:sz w:val="24"/>
                <w:szCs w:val="24"/>
                <w:lang w:eastAsia="en-GB"/>
              </w:rPr>
            </w:pPr>
            <w:r>
              <w:rPr>
                <w:rFonts w:ascii="Arial" w:hAnsi="Arial" w:cs="Arial"/>
                <w:bCs/>
              </w:rPr>
              <w:t>ΧΡΗΜΑΤΙΣΤΗΡΙΑΚΕΣ ΣΥΝΑΛΛΑΓΕΣ</w:t>
            </w:r>
          </w:p>
        </w:tc>
      </w:tr>
      <w:tr w:rsidR="00DE0E49" w:rsidTr="00DE0E49">
        <w:trPr>
          <w:trHeight w:val="444"/>
        </w:trPr>
        <w:tc>
          <w:tcPr>
            <w:tcW w:w="1745" w:type="dxa"/>
          </w:tcPr>
          <w:p w:rsidR="00DE0E49" w:rsidRDefault="00DE0E49">
            <w:pPr>
              <w:spacing w:after="160" w:line="256" w:lineRule="auto"/>
              <w:rPr>
                <w:rFonts w:ascii="Arial" w:eastAsia="Times New Roman" w:hAnsi="Arial" w:cs="Arial"/>
                <w:sz w:val="20"/>
                <w:szCs w:val="20"/>
                <w:lang w:eastAsia="el-GR"/>
              </w:rPr>
            </w:pPr>
          </w:p>
        </w:tc>
        <w:tc>
          <w:tcPr>
            <w:tcW w:w="1941" w:type="dxa"/>
            <w:gridSpan w:val="2"/>
          </w:tcPr>
          <w:p w:rsidR="00DE0E49" w:rsidRDefault="00DE0E49">
            <w:pPr>
              <w:spacing w:after="160" w:line="256" w:lineRule="auto"/>
              <w:jc w:val="both"/>
              <w:rPr>
                <w:rFonts w:ascii="Arial" w:hAnsi="Arial" w:cs="Arial"/>
                <w:sz w:val="18"/>
                <w:szCs w:val="18"/>
              </w:rPr>
            </w:pPr>
          </w:p>
        </w:tc>
        <w:tc>
          <w:tcPr>
            <w:tcW w:w="6379" w:type="dxa"/>
          </w:tcPr>
          <w:p w:rsidR="00DE0E49" w:rsidRDefault="00DE0E49">
            <w:pPr>
              <w:spacing w:after="0" w:line="360" w:lineRule="auto"/>
              <w:jc w:val="both"/>
              <w:rPr>
                <w:rFonts w:ascii="Arial" w:eastAsia="Times New Roman" w:hAnsi="Arial" w:cs="Arial"/>
                <w:sz w:val="24"/>
                <w:szCs w:val="24"/>
                <w:lang w:eastAsia="en-GB"/>
              </w:rPr>
            </w:pPr>
          </w:p>
        </w:tc>
      </w:tr>
      <w:tr w:rsidR="00DE0E49" w:rsidRPr="00CB634D" w:rsidTr="00DE0E49">
        <w:trPr>
          <w:trHeight w:val="444"/>
        </w:trPr>
        <w:tc>
          <w:tcPr>
            <w:tcW w:w="1745" w:type="dxa"/>
          </w:tcPr>
          <w:p w:rsidR="00DE0E49" w:rsidRDefault="00DE0E49">
            <w:pPr>
              <w:spacing w:after="0" w:line="360" w:lineRule="auto"/>
              <w:rPr>
                <w:rFonts w:ascii="Arial" w:eastAsia="Times New Roman" w:hAnsi="Arial" w:cs="Arial"/>
                <w:sz w:val="20"/>
                <w:szCs w:val="20"/>
                <w:lang w:eastAsia="el-GR"/>
              </w:rPr>
            </w:pPr>
          </w:p>
        </w:tc>
        <w:tc>
          <w:tcPr>
            <w:tcW w:w="1941" w:type="dxa"/>
            <w:gridSpan w:val="2"/>
            <w:hideMark/>
          </w:tcPr>
          <w:p w:rsidR="00DE0E49" w:rsidRPr="00DE0E49" w:rsidRDefault="00DE0E49" w:rsidP="00DE0E49">
            <w:pPr>
              <w:spacing w:line="240" w:lineRule="exact"/>
              <w:jc w:val="both"/>
              <w:rPr>
                <w:rFonts w:ascii="Arial" w:hAnsi="Arial" w:cs="Arial"/>
                <w:sz w:val="20"/>
                <w:szCs w:val="20"/>
                <w:lang w:val="el-GR"/>
              </w:rPr>
            </w:pPr>
            <w:r w:rsidRPr="00DE0E49">
              <w:rPr>
                <w:rFonts w:ascii="Arial" w:hAnsi="Arial" w:cs="Arial"/>
                <w:sz w:val="20"/>
                <w:szCs w:val="20"/>
                <w:lang w:val="el-GR"/>
              </w:rPr>
              <w:t>Χρηματιστηριακές</w:t>
            </w:r>
          </w:p>
          <w:p w:rsidR="00DE0E49" w:rsidRDefault="00DE0E49" w:rsidP="00DE0E49">
            <w:pPr>
              <w:spacing w:after="0" w:line="240" w:lineRule="exact"/>
              <w:jc w:val="both"/>
              <w:rPr>
                <w:rFonts w:ascii="Arial" w:eastAsia="Times New Roman" w:hAnsi="Arial" w:cs="Arial"/>
                <w:sz w:val="24"/>
                <w:szCs w:val="24"/>
                <w:lang w:eastAsia="el-GR"/>
              </w:rPr>
            </w:pPr>
            <w:r w:rsidRPr="00DE0E49">
              <w:rPr>
                <w:rFonts w:ascii="Arial" w:hAnsi="Arial" w:cs="Arial"/>
                <w:sz w:val="20"/>
                <w:szCs w:val="20"/>
                <w:lang w:val="el-GR"/>
              </w:rPr>
              <w:t>Συναλλαγές</w:t>
            </w:r>
            <w:r>
              <w:rPr>
                <w:rFonts w:ascii="Arial" w:hAnsi="Arial" w:cs="Arial"/>
                <w:sz w:val="20"/>
                <w:szCs w:val="20"/>
              </w:rPr>
              <w:t>.</w:t>
            </w:r>
          </w:p>
        </w:tc>
        <w:tc>
          <w:tcPr>
            <w:tcW w:w="6379" w:type="dxa"/>
            <w:hideMark/>
          </w:tcPr>
          <w:p w:rsidR="00DE0E49" w:rsidRPr="00DE0E49" w:rsidRDefault="00DE0E49">
            <w:pPr>
              <w:spacing w:after="0" w:line="360" w:lineRule="auto"/>
              <w:jc w:val="both"/>
              <w:rPr>
                <w:rFonts w:ascii="Arial" w:eastAsia="Times New Roman" w:hAnsi="Arial" w:cs="Arial"/>
                <w:sz w:val="24"/>
                <w:szCs w:val="24"/>
                <w:lang w:val="el-GR" w:eastAsia="el-GR"/>
              </w:rPr>
            </w:pPr>
            <w:r w:rsidRPr="00DE0E49">
              <w:rPr>
                <w:rFonts w:ascii="Arial" w:eastAsia="Times New Roman" w:hAnsi="Arial" w:cs="Arial"/>
                <w:sz w:val="24"/>
                <w:szCs w:val="24"/>
                <w:lang w:val="el-GR" w:eastAsia="en-GB"/>
              </w:rPr>
              <w:t>21. (1) Οι διάφορες κατηγορίες χρηματιστηριακών συναλλαγών καταρτίζονται, τελειούνται, εκκαθαρίζονται και γίνεται ο χρηματικός διακανονισμός τους κατά τα οριζόμενα στους Χρηματιστηριακούς Κανονισμούς ή με βάση διαδικασία που καθορίζεται με Απόφαση του Συμβουλίου.</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0"/>
                <w:szCs w:val="20"/>
                <w:lang w:val="el-GR" w:eastAsia="el-GR"/>
              </w:rPr>
            </w:pPr>
          </w:p>
        </w:tc>
        <w:tc>
          <w:tcPr>
            <w:tcW w:w="1941" w:type="dxa"/>
            <w:gridSpan w:val="2"/>
          </w:tcPr>
          <w:p w:rsidR="00DE0E49" w:rsidRPr="00DE0E49" w:rsidRDefault="00DE0E49">
            <w:pPr>
              <w:spacing w:after="160" w:line="256" w:lineRule="auto"/>
              <w:jc w:val="both"/>
              <w:rPr>
                <w:rFonts w:ascii="Arial" w:hAnsi="Arial" w:cs="Arial"/>
                <w:sz w:val="18"/>
                <w:szCs w:val="18"/>
                <w:lang w:val="el-GR"/>
              </w:rPr>
            </w:pPr>
          </w:p>
        </w:tc>
        <w:tc>
          <w:tcPr>
            <w:tcW w:w="6379" w:type="dxa"/>
          </w:tcPr>
          <w:p w:rsidR="00DE0E49" w:rsidRPr="00DE0E49" w:rsidRDefault="00DE0E49">
            <w:pPr>
              <w:spacing w:after="0" w:line="360" w:lineRule="auto"/>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ind w:firstLine="459"/>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(2) Με Απόφαση του Συμβουλίου δύναται να απαγορευτεί η κατάρτιση χρηματιστηριακών συναλλαγών ή να  επιτραπεί με τους όρους που ορίζονται από το Συμβούλιο.</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ind w:firstLine="459"/>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(3) Ανεξαρτήτως οποιασδήποτε αντίθετης διάταξης του Νόμου που διέπει τη σύσταση και λειτουργία εκδότη που έχει εισάξει ή πρόκειται να εισαγάγει κινητές αξίες στο Χρηματιστήριο, θέματα που αφορούν-</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ind w:firstLine="459"/>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(α) Τη μεταβίβαση της κυριότητας αξιών·</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ind w:firstLine="459"/>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(β) την ενεχυρίαση ή άλλη επιβάρυνση αξιών·</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ind w:left="884" w:hanging="425"/>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(γ) την έκδοση ή τη μη έκδοση  πιστοποιητικών ιδιοκτησίας ή άλλων ειδοποιήσεων προς τους κατόχους ή δικαιούχους αξιών·</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ind w:left="884" w:hanging="425"/>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(δ) την έκδοση νέων ή επιπρόσθετων ή την εξαγορά ή κατάργηση αξιών· και</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ind w:left="742" w:hanging="283"/>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 xml:space="preserve">(ε) οποιαδήποτε άλλα  συναφή θέματα, </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ρυθμίζονται με διαδικασία που καθορίζεται με Απόφαση του Συμβουλίου που λαμβάνεται ύστερα από τη σύμφωνη γνώμη της Επιτροπής.</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before="240" w:after="160" w:line="360" w:lineRule="auto"/>
              <w:ind w:firstLine="459"/>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Νοείται ότι οποιαδήποτε ισχύουσα διάταξη σχετικά με τα θέματα των παραγράφων (α), (β), (γ), (δ) και (ε) πιο πάνω, του Νόμου που διέπει τη σύσταση και λειτουργία του εκδότη που έχει εισάξει ή που πρόκειται να εισαγάγει κινητές αξίες στο Χρηματιστήριο, εξακολουθεί να ισχύει και να είναι δεσμευτική για τον εκδότη ή οποιοδήποτε άλλο, εκτός αν η Απόφαση  του Συμβουλίου που λαμβάνεται με βάση τις πρόνοιες του παρόντος εδαφίου ρητά προνοεί το αντίθετο.</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hideMark/>
          </w:tcPr>
          <w:p w:rsidR="00DE0E49" w:rsidRDefault="00DE0E49" w:rsidP="00DE0E49">
            <w:pPr>
              <w:spacing w:line="240" w:lineRule="atLeast"/>
              <w:jc w:val="both"/>
              <w:rPr>
                <w:rFonts w:ascii="Arial" w:eastAsia="Times New Roman" w:hAnsi="Arial" w:cs="Arial"/>
                <w:sz w:val="20"/>
                <w:szCs w:val="20"/>
                <w:lang w:eastAsia="en-GB"/>
              </w:rPr>
            </w:pPr>
            <w:r>
              <w:rPr>
                <w:rFonts w:ascii="Arial" w:eastAsia="Times New Roman" w:hAnsi="Arial" w:cs="Arial"/>
                <w:sz w:val="20"/>
                <w:szCs w:val="20"/>
                <w:lang w:eastAsia="en-GB"/>
              </w:rPr>
              <w:t>Ευθύνη</w:t>
            </w:r>
          </w:p>
          <w:p w:rsidR="00DE0E49" w:rsidRDefault="00DE0E49" w:rsidP="00DE0E49">
            <w:pPr>
              <w:spacing w:after="160" w:line="240" w:lineRule="atLeast"/>
              <w:jc w:val="both"/>
              <w:rPr>
                <w:rFonts w:ascii="Arial" w:eastAsia="Times New Roman" w:hAnsi="Arial" w:cs="Arial"/>
                <w:sz w:val="24"/>
                <w:szCs w:val="24"/>
                <w:lang w:eastAsia="en-GB"/>
              </w:rPr>
            </w:pPr>
            <w:r>
              <w:rPr>
                <w:rFonts w:ascii="Arial" w:eastAsia="Times New Roman" w:hAnsi="Arial" w:cs="Arial"/>
                <w:sz w:val="20"/>
                <w:szCs w:val="20"/>
                <w:lang w:eastAsia="en-GB"/>
              </w:rPr>
              <w:t>Μελών.</w:t>
            </w:r>
          </w:p>
        </w:tc>
        <w:tc>
          <w:tcPr>
            <w:tcW w:w="6379" w:type="dxa"/>
            <w:hideMark/>
          </w:tcPr>
          <w:p w:rsidR="00DE0E49" w:rsidRPr="00DE0E49" w:rsidRDefault="00DE0E49">
            <w:pPr>
              <w:spacing w:after="0" w:line="360" w:lineRule="auto"/>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22. (1) Μέλος του Χρηματιστηρίου το οποίου παραλείπει να τηρεί τα προβλεπόμενα στους Χρηματιστηριακούς Κανονισμούς ή στις Αποφάσεις του Συμβουλίου σχετικά με την κατάρτιση, τελείωση, εκκαθάριση και τον χρηματικό διακανονισμό συναλλαγών που έχει καταρτίσει, επιπροσθέτως της προσωπικής ευθύνης του για κάθε ζημιά που  προσγίνεται σε οποιοδήποτε τρίτο συνεπεία της παράλειψης του και οποιασδήποτε άλλης ευθύνης του, υπόκειται και στα ακόλουθα:</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ind w:firstLine="459"/>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(α) Με απόφαση του Διευθυντή, σε στέρηση μέχρι την εκπλήρωση των υποχρεώσεων του ή μέχρις ότου το θέμα εξεταστεί και αποφασιστεί από το Συμβούλιο της δυνατότητας για υποβολή ή αποδοχή προτάσεων για χρηματιστηριακές συναλλαγές·</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160" w:line="360" w:lineRule="auto"/>
              <w:ind w:firstLine="459"/>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(β)  με απόφαση του Διευθυντή, σε πρόστιμο μέχρι τεσσάρων χιλιάδων ευρώ για κάθε ημέρα υπερημερίας του μέχρι την εκπλήρωση  των υποχρεώσεων του·</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ind w:firstLine="459"/>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(γ)  σε άμεση καταβολή προς το Χρηματιστήριο κάθε ποσού που απαιτήθηκε  προς εκτέλεση και τελείωση των πράξεων του, με την κατά απόλυτη διακριτική ευχέρεια του Διευθυντή δυνατότητα για αγορά ή πώληση αξιών, αναλόγως της περίπτωσης, προς τελείωση της πράξεως.</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hideMark/>
          </w:tcPr>
          <w:p w:rsidR="00DE0E49" w:rsidRPr="00DE0E49" w:rsidRDefault="00DE0E49" w:rsidP="00DE0E49">
            <w:pPr>
              <w:spacing w:after="160" w:line="240" w:lineRule="exact"/>
              <w:jc w:val="both"/>
              <w:rPr>
                <w:rFonts w:ascii="Arial" w:eastAsia="Times New Roman" w:hAnsi="Arial" w:cs="Arial"/>
                <w:sz w:val="20"/>
                <w:szCs w:val="20"/>
                <w:lang w:eastAsia="en-GB"/>
              </w:rPr>
            </w:pPr>
            <w:r w:rsidRPr="00DE0E49">
              <w:rPr>
                <w:rFonts w:ascii="Arial" w:eastAsia="Times New Roman" w:hAnsi="Arial" w:cs="Arial"/>
                <w:sz w:val="20"/>
                <w:szCs w:val="20"/>
                <w:lang w:eastAsia="en-GB"/>
              </w:rPr>
              <w:t>Ευθύνη</w:t>
            </w:r>
          </w:p>
          <w:p w:rsidR="00DE0E49" w:rsidRDefault="00DE0E49" w:rsidP="00DE0E49">
            <w:pPr>
              <w:spacing w:after="160" w:line="240" w:lineRule="exact"/>
              <w:jc w:val="both"/>
              <w:rPr>
                <w:rFonts w:ascii="Arial" w:eastAsia="Times New Roman" w:hAnsi="Arial" w:cs="Arial"/>
                <w:sz w:val="24"/>
                <w:szCs w:val="24"/>
                <w:lang w:eastAsia="en-GB"/>
              </w:rPr>
            </w:pPr>
            <w:r w:rsidRPr="00DE0E49">
              <w:rPr>
                <w:rFonts w:ascii="Arial" w:eastAsia="Times New Roman" w:hAnsi="Arial" w:cs="Arial"/>
                <w:sz w:val="20"/>
                <w:szCs w:val="20"/>
                <w:lang w:eastAsia="en-GB"/>
              </w:rPr>
              <w:t>Εκδοτών</w:t>
            </w:r>
            <w:r w:rsidRPr="00DE0E49">
              <w:rPr>
                <w:rFonts w:ascii="Arial" w:eastAsia="Times New Roman" w:hAnsi="Arial" w:cs="Arial"/>
                <w:sz w:val="24"/>
                <w:szCs w:val="24"/>
                <w:lang w:val="el-GR" w:eastAsia="en-GB"/>
              </w:rPr>
              <w:t>.</w:t>
            </w:r>
          </w:p>
        </w:tc>
        <w:tc>
          <w:tcPr>
            <w:tcW w:w="6379" w:type="dxa"/>
            <w:hideMark/>
          </w:tcPr>
          <w:p w:rsidR="00DE0E49" w:rsidRPr="00DE0E49" w:rsidRDefault="00DE0E49">
            <w:pPr>
              <w:spacing w:after="0" w:line="360" w:lineRule="auto"/>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23.  (1) Κάθε εισηγμένος εκδότης ο οποίος παραλείπει να τηρεί τα προβλεπόμενα  στον παρόντα Νόμο ή στους περί Αξιών και Χρηματιστηρίου Αξιών Κύπρου (Κεντρικό Αποθετήριο και Κεντρικό Μητρώο) Νόμους, ή να συμμορφώνεται προς τις Αποφάσεις του Συμβουλίου  που εκδίδονται σύμφωνα με τις διατάξεις των εδαφίων (2) και (3) του άρθρου 21, επιπροσθέτως της προσωπικής ευθύνης του για κάθε ζημιά που προσγίνεται σε οποιοδήποτε τρίτο συνεπεία της παράλειψης του και οποιασδήποτε άλλης ευθύνης του, υπόκειται και στα ακόλουθα:</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160" w:line="360" w:lineRule="auto"/>
              <w:ind w:left="1026" w:hanging="567"/>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(α) Σε προσωπική ευθύνη για αποδοχή και τελείωση οποιασδήποτε συναλλαγής που καταρτίζεται στο Χρηματιστήριο και κοινοποιείται σε αυτό, αν παραλείψει  να ειδοποιήσει κατά τον τρόπο και εντός της προθεσμίας που η απόφαση του Συμβουλίου προβλέπει, το Χρηματιστήριο για τους λόγους που δεν την αποδέχεται·</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160" w:line="360" w:lineRule="auto"/>
              <w:ind w:left="1026" w:hanging="567"/>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(β)</w:t>
            </w:r>
            <w:r w:rsidRPr="00DE0E49">
              <w:rPr>
                <w:rFonts w:ascii="Arial" w:eastAsia="Times New Roman" w:hAnsi="Arial" w:cs="Arial"/>
                <w:sz w:val="24"/>
                <w:szCs w:val="24"/>
                <w:lang w:val="el-GR" w:eastAsia="en-GB"/>
              </w:rPr>
              <w:tab/>
              <w:t>με απόφαση του Συμβουλίου, σε προσωρινή αναστολή της εμπορίας αξιών του στο Χρηματιστήριο για χρονικό διάστημα μέχρι δεκαπέντε ημέρες·</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ind w:left="1026" w:hanging="567"/>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(γ)</w:t>
            </w:r>
            <w:r w:rsidRPr="00DE0E49">
              <w:rPr>
                <w:rFonts w:ascii="Arial" w:eastAsia="Times New Roman" w:hAnsi="Arial" w:cs="Arial"/>
                <w:sz w:val="24"/>
                <w:szCs w:val="24"/>
                <w:lang w:val="el-GR" w:eastAsia="en-GB"/>
              </w:rPr>
              <w:tab/>
              <w:t>με απόφαση του Διευθυντή, σε πρόστιμο μέχρι δεκαεπτά χιλιάδες ευρώ για κάθε ημέρα υπερημερίας του μέχρι την εκπλήρωση οποιασδήποτε υποχρέωσης του.</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ind w:firstLine="459"/>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Νοείται ότι εκδότης ο οποίος παραλείπει να καταβάλει στο Χρηματιστήριο το πρόστιμο που επιβλήθηκε από το Γενικό Διευθυντή βάσει της παραγράφου αυτής, υπόκειται, ύστερα από απόφαση του Συμβουλίου και της Επιτροπής σε προσωρινή αναστολή της εμπορίας των αξιών του στο Χρηματιστήριο για χρονικό διάστημα μέχρι δεκαπέντε ημερών.</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hideMark/>
          </w:tcPr>
          <w:p w:rsidR="00DE0E49" w:rsidRDefault="00DE0E49">
            <w:pPr>
              <w:spacing w:after="160" w:line="256" w:lineRule="auto"/>
              <w:jc w:val="both"/>
              <w:rPr>
                <w:rFonts w:ascii="Arial" w:eastAsia="Times New Roman" w:hAnsi="Arial" w:cs="Arial"/>
                <w:sz w:val="20"/>
                <w:szCs w:val="20"/>
                <w:lang w:eastAsia="en-GB"/>
              </w:rPr>
            </w:pPr>
            <w:r>
              <w:rPr>
                <w:rFonts w:ascii="Arial" w:eastAsia="Times New Roman" w:hAnsi="Arial" w:cs="Arial"/>
                <w:sz w:val="20"/>
                <w:szCs w:val="20"/>
                <w:lang w:eastAsia="en-GB"/>
              </w:rPr>
              <w:t>Ευθύνη επενδυτών.</w:t>
            </w:r>
          </w:p>
        </w:tc>
        <w:tc>
          <w:tcPr>
            <w:tcW w:w="6379" w:type="dxa"/>
            <w:hideMark/>
          </w:tcPr>
          <w:p w:rsidR="00DE0E49" w:rsidRPr="00DE0E49" w:rsidRDefault="00DE0E49">
            <w:pPr>
              <w:tabs>
                <w:tab w:val="left" w:pos="598"/>
              </w:tabs>
              <w:spacing w:after="160" w:line="360" w:lineRule="auto"/>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24.   (1) Πρόσωπο που δίδει εντολή ή Μέλος του Χρηματιστηρίου που υποβάλλει πρόταση για κατάρτιση συναλλαγής στο Χρηματιστήριο για αξίες οι οποίες, κατά τον χρόνο της εκκαθάρισης της συναλλαγής δεν είναι εγγεγραμμένες στο μητρώο του εκδότη ή στο Κεντρικό Αποθετήριο και Κεντρικό Μητρώο Αξιών, ανάλογα με την περίπτωση, στο όνομα του προσώπου, που δίδει  την εντολή ή στην περίπτωση Μέλους του Χρηματιστηρίου του προσώπου, για λογαριασμό  του οποίου το Μέλος του Χρηματιστηρίου υποβάλλει την πρόταση-</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left="884" w:hanging="283"/>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ind w:left="884" w:hanging="283"/>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(α) υπόκειται σε διοικητικό πρόστιμο μέχρι τρεις χιλιάδες ευρώ, το οποίο επιβάλλεται από το Γενικό Διευθυντή, η απόφαση αυτή δύναται να προσβληθεί ενώπιον του Συμβουλίου εντός πέντε εργασίμων ημερών από της κοινοποίησης της στο ενδιαφερόμενο πρόσωπο ή Μέλος:</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ind w:firstLine="742"/>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Νοείται ότι σε περίπτωση που το όφελος του προσώπου ή Μέλους που ενήργησε κατά παράβαση του παρόντος εδαφίου είναι μεγαλύτερο του διοικητικού προστίμου που μπορεί να επιβάλει ο Γενικός Διευθυντής σύμφωνα με τα προαναφερόμενα, το Συμβούλιο δύναται να επιβάλει πρόστιμο μέχρι του ισόποσου του επιτευχθέντος οφέλους.</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ind w:left="1026" w:hanging="425"/>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(β) διαπράττει ποινικό αδίκημα  τιμωρούμενο με ποινή φυλακίσεως μέχρι τριών ετών ή με χρηματική ποινή μέχρι δεκαεπτά χιλιάδες ευρώ ή και με τις δύο αυτές ποινές αν διαπιστωθεί ότι ενήργησε εκ προθέσεως:</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160" w:line="360" w:lineRule="auto"/>
              <w:ind w:firstLine="601"/>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Νοείται ότι, χωρίς επηρεασμό των προνοιών των παραγράφων (α) και (β) του παρόντος εδαφίου, πρόσωπο που έδωσε εντολή ή Μέλος του Χρηματιστηρίου  που υπέβαλε πρόταση για κατάρτιση συναλλαγής στο Χρηματιστήριο για αξίες, οι οποίες κατά τον χρόνο της εντολής ή το χρόνο υποβολής της πρότασης δεν ήταν εγγεγραμμένες στο μητρώο του εκδότη  ή στο Κεντρικό Αποθετήριο και Κεντρικό Μητρώο Αξιών, ανάλογα με την περίπτωση, στο όνομα του προσώπου που έδωσε την εντολή ή στην περίπτωση Μέλους του Χρηματιστηρίου του προσώπου, για λογαριασμό του οποίου το Μέλος υπέβαλε την πρόταση, οφείλει να προβεί στις κατάλληλες ενέργειες για να εκκαθαριστεί  η συναλλαγή πώλησης εντός της καθορισμένης προθεσμίας σύμφωνα με την προβλεπόμενη διαδικασία.</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0" w:line="360" w:lineRule="auto"/>
              <w:ind w:firstLine="601"/>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 xml:space="preserve">(2) Με την δημοσίευση στην Επίσημη Εφημερίδα της Δημοκρατίας, απόφασης του Συμβουλίου που λαμβάνεται σύμφωνα με τις διατάξεις των εδαφίων (2) και (3) του άρθρου 21, για χρονική περίοδο που καθορίζεται στην εν λόγω απόφαση, αναστέλλεται η εφαρμογή οποιουδήποτε Κανονισμού που περιλαμβάνεται στο Μέρος </w:t>
            </w:r>
            <w:r>
              <w:rPr>
                <w:rFonts w:ascii="Arial" w:eastAsia="Times New Roman" w:hAnsi="Arial" w:cs="Arial"/>
                <w:sz w:val="24"/>
                <w:szCs w:val="24"/>
                <w:lang w:eastAsia="en-GB"/>
              </w:rPr>
              <w:t>V</w:t>
            </w:r>
            <w:r w:rsidRPr="00DE0E49">
              <w:rPr>
                <w:rFonts w:ascii="Arial" w:eastAsia="Times New Roman" w:hAnsi="Arial" w:cs="Arial"/>
                <w:sz w:val="24"/>
                <w:szCs w:val="24"/>
                <w:lang w:val="el-GR" w:eastAsia="en-GB"/>
              </w:rPr>
              <w:t xml:space="preserve"> των περί Αξιών και Χρηματιστηρίου Αξιών Κύπρου Κανονισμών του 1995 μέχρι 1997.</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0"/>
                <w:szCs w:val="20"/>
                <w:lang w:val="el-GR" w:eastAsia="en-GB"/>
              </w:rPr>
            </w:pPr>
          </w:p>
        </w:tc>
        <w:tc>
          <w:tcPr>
            <w:tcW w:w="1941" w:type="dxa"/>
            <w:gridSpan w:val="2"/>
            <w:hideMark/>
          </w:tcPr>
          <w:p w:rsidR="00DE0E49" w:rsidRDefault="00DE0E49">
            <w:pPr>
              <w:spacing w:after="160" w:line="256" w:lineRule="auto"/>
              <w:jc w:val="both"/>
              <w:rPr>
                <w:rFonts w:ascii="Arial" w:eastAsia="Times New Roman" w:hAnsi="Arial" w:cs="Arial"/>
                <w:sz w:val="20"/>
                <w:szCs w:val="20"/>
                <w:lang w:eastAsia="en-GB"/>
              </w:rPr>
            </w:pPr>
            <w:r>
              <w:rPr>
                <w:rFonts w:ascii="Arial" w:eastAsia="Times New Roman" w:hAnsi="Arial" w:cs="Arial"/>
                <w:sz w:val="20"/>
                <w:szCs w:val="20"/>
                <w:lang w:eastAsia="en-GB"/>
              </w:rPr>
              <w:t>Παραγραφή.</w:t>
            </w:r>
          </w:p>
        </w:tc>
        <w:tc>
          <w:tcPr>
            <w:tcW w:w="6379" w:type="dxa"/>
            <w:hideMark/>
          </w:tcPr>
          <w:p w:rsidR="00DE0E49" w:rsidRPr="00DE0E49" w:rsidRDefault="00DE0E49">
            <w:pPr>
              <w:tabs>
                <w:tab w:val="left" w:pos="628"/>
              </w:tabs>
              <w:spacing w:after="0" w:line="360" w:lineRule="auto"/>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25.  (1) Απαίτηση που πηγάζει από χρηματιστηριακή συναλλαγή παραγράφεται μετά πάροδο οκτώ ετών από την ημέρα που καταρτίστηκε η συναλλαγή.</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hideMark/>
          </w:tcPr>
          <w:p w:rsidR="00DE0E49" w:rsidRPr="00DE0E49" w:rsidRDefault="00DE0E49">
            <w:pPr>
              <w:spacing w:after="160" w:line="360" w:lineRule="auto"/>
              <w:ind w:firstLine="459"/>
              <w:jc w:val="both"/>
              <w:rPr>
                <w:rFonts w:ascii="Arial" w:eastAsia="Times New Roman" w:hAnsi="Arial" w:cs="Arial"/>
                <w:sz w:val="24"/>
                <w:szCs w:val="24"/>
                <w:lang w:val="el-GR" w:eastAsia="en-GB"/>
              </w:rPr>
            </w:pPr>
            <w:r w:rsidRPr="00DE0E49">
              <w:rPr>
                <w:rFonts w:ascii="Arial" w:eastAsia="Times New Roman" w:hAnsi="Arial" w:cs="Arial"/>
                <w:sz w:val="24"/>
                <w:szCs w:val="24"/>
                <w:lang w:val="el-GR" w:eastAsia="en-GB"/>
              </w:rPr>
              <w:t>(2) Οι διατάξεις του περί Αναστολής της Παραγραφής Νόμου δεν ισχύουν για απαιτήσεις που πηγάζουν από χρηματιστηριακές συναλλαγές.</w:t>
            </w:r>
          </w:p>
        </w:tc>
      </w:tr>
      <w:tr w:rsidR="00DE0E49" w:rsidRPr="00CB634D" w:rsidTr="00DE0E49">
        <w:trPr>
          <w:trHeight w:val="444"/>
        </w:trPr>
        <w:tc>
          <w:tcPr>
            <w:tcW w:w="1745" w:type="dxa"/>
          </w:tcPr>
          <w:p w:rsidR="00DE0E49" w:rsidRPr="00DE0E49" w:rsidRDefault="00DE0E49">
            <w:pPr>
              <w:spacing w:after="0" w:line="360" w:lineRule="auto"/>
              <w:rPr>
                <w:rFonts w:ascii="Arial" w:eastAsia="Times New Roman" w:hAnsi="Arial" w:cs="Arial"/>
                <w:sz w:val="24"/>
                <w:szCs w:val="24"/>
                <w:lang w:val="el-GR" w:eastAsia="en-GB"/>
              </w:rPr>
            </w:pPr>
          </w:p>
        </w:tc>
        <w:tc>
          <w:tcPr>
            <w:tcW w:w="1941" w:type="dxa"/>
            <w:gridSpan w:val="2"/>
          </w:tcPr>
          <w:p w:rsidR="00DE0E49" w:rsidRPr="00DE0E49" w:rsidRDefault="00DE0E49">
            <w:pPr>
              <w:spacing w:after="160" w:line="256" w:lineRule="auto"/>
              <w:jc w:val="both"/>
              <w:rPr>
                <w:rFonts w:ascii="Arial" w:eastAsia="Times New Roman" w:hAnsi="Arial" w:cs="Arial"/>
                <w:sz w:val="24"/>
                <w:szCs w:val="24"/>
                <w:lang w:val="el-GR" w:eastAsia="en-GB"/>
              </w:rPr>
            </w:pPr>
          </w:p>
        </w:tc>
        <w:tc>
          <w:tcPr>
            <w:tcW w:w="6379" w:type="dxa"/>
          </w:tcPr>
          <w:p w:rsidR="00DE0E49" w:rsidRPr="00DE0E49" w:rsidRDefault="00DE0E49">
            <w:pPr>
              <w:spacing w:after="0" w:line="360" w:lineRule="auto"/>
              <w:ind w:firstLine="742"/>
              <w:jc w:val="both"/>
              <w:rPr>
                <w:rFonts w:ascii="Arial" w:eastAsia="Times New Roman" w:hAnsi="Arial" w:cs="Arial"/>
                <w:sz w:val="24"/>
                <w:szCs w:val="24"/>
                <w:lang w:val="el-GR" w:eastAsia="en-GB"/>
              </w:rPr>
            </w:pPr>
          </w:p>
        </w:tc>
      </w:tr>
    </w:tbl>
    <w:p w:rsidR="000B4317" w:rsidRPr="001D07D2" w:rsidRDefault="000B4317" w:rsidP="001D07D2">
      <w:pPr>
        <w:spacing w:after="0" w:line="240" w:lineRule="auto"/>
        <w:jc w:val="right"/>
        <w:rPr>
          <w:sz w:val="24"/>
          <w:szCs w:val="24"/>
          <w:lang w:val="el-GR"/>
        </w:rPr>
      </w:pPr>
    </w:p>
    <w:p w:rsidR="001D07D2" w:rsidRPr="00054BFB" w:rsidRDefault="001D07D2" w:rsidP="001D07D2">
      <w:pPr>
        <w:spacing w:after="0" w:line="240" w:lineRule="auto"/>
        <w:jc w:val="both"/>
        <w:rPr>
          <w:sz w:val="24"/>
          <w:szCs w:val="24"/>
          <w:lang w:val="el-GR"/>
        </w:rPr>
      </w:pPr>
    </w:p>
    <w:p w:rsidR="001D07D2" w:rsidRPr="00054BFB" w:rsidRDefault="001D07D2" w:rsidP="001D07D2">
      <w:pPr>
        <w:spacing w:after="0" w:line="240" w:lineRule="auto"/>
        <w:jc w:val="both"/>
        <w:rPr>
          <w:sz w:val="24"/>
          <w:szCs w:val="24"/>
          <w:lang w:val="el-GR"/>
        </w:rPr>
      </w:pPr>
    </w:p>
    <w:sectPr w:rsidR="001D07D2" w:rsidRPr="00054BFB" w:rsidSect="001A2ECB">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F3" w:rsidRDefault="002C55F3">
      <w:pPr>
        <w:spacing w:after="0" w:line="240" w:lineRule="auto"/>
      </w:pPr>
      <w:r>
        <w:separator/>
      </w:r>
    </w:p>
  </w:endnote>
  <w:endnote w:type="continuationSeparator" w:id="0">
    <w:p w:rsidR="002C55F3" w:rsidRDefault="002C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830783"/>
      <w:docPartObj>
        <w:docPartGallery w:val="Page Numbers (Bottom of Page)"/>
        <w:docPartUnique/>
      </w:docPartObj>
    </w:sdtPr>
    <w:sdtEndPr>
      <w:rPr>
        <w:rFonts w:ascii="Arial" w:hAnsi="Arial" w:cs="Arial"/>
        <w:sz w:val="18"/>
        <w:szCs w:val="18"/>
      </w:rPr>
    </w:sdtEndPr>
    <w:sdtContent>
      <w:p w:rsidR="00074543" w:rsidRPr="0012245C" w:rsidRDefault="00074543">
        <w:pPr>
          <w:pStyle w:val="Footer"/>
          <w:jc w:val="right"/>
          <w:rPr>
            <w:rFonts w:ascii="Times New Roman" w:hAnsi="Times New Roman" w:cs="Times New Roman"/>
            <w:sz w:val="20"/>
            <w:szCs w:val="20"/>
          </w:rPr>
        </w:pPr>
        <w:r w:rsidRPr="00036A03">
          <w:rPr>
            <w:rFonts w:ascii="Times New Roman" w:hAnsi="Times New Roman" w:cs="Times New Roman"/>
            <w:sz w:val="20"/>
            <w:szCs w:val="20"/>
          </w:rPr>
          <w:fldChar w:fldCharType="begin"/>
        </w:r>
        <w:r w:rsidRPr="00036A03">
          <w:rPr>
            <w:rFonts w:ascii="Times New Roman" w:hAnsi="Times New Roman" w:cs="Times New Roman"/>
            <w:sz w:val="20"/>
            <w:szCs w:val="20"/>
          </w:rPr>
          <w:instrText xml:space="preserve"> PAGE   \* MERGEFORMAT </w:instrText>
        </w:r>
        <w:r w:rsidRPr="00036A03">
          <w:rPr>
            <w:rFonts w:ascii="Times New Roman" w:hAnsi="Times New Roman" w:cs="Times New Roman"/>
            <w:sz w:val="20"/>
            <w:szCs w:val="20"/>
          </w:rPr>
          <w:fldChar w:fldCharType="separate"/>
        </w:r>
        <w:r w:rsidR="002C55F3">
          <w:rPr>
            <w:rFonts w:ascii="Times New Roman" w:hAnsi="Times New Roman" w:cs="Times New Roman"/>
            <w:noProof/>
            <w:sz w:val="20"/>
            <w:szCs w:val="20"/>
          </w:rPr>
          <w:t>1</w:t>
        </w:r>
        <w:r w:rsidRPr="00036A03">
          <w:rPr>
            <w:rFonts w:ascii="Times New Roman" w:hAnsi="Times New Roman" w:cs="Times New Roman"/>
            <w:sz w:val="20"/>
            <w:szCs w:val="20"/>
          </w:rPr>
          <w:fldChar w:fldCharType="end"/>
        </w:r>
      </w:p>
    </w:sdtContent>
  </w:sdt>
  <w:p w:rsidR="00074543" w:rsidRDefault="00074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F3" w:rsidRDefault="002C55F3">
      <w:pPr>
        <w:spacing w:after="0" w:line="240" w:lineRule="auto"/>
      </w:pPr>
      <w:r>
        <w:separator/>
      </w:r>
    </w:p>
  </w:footnote>
  <w:footnote w:type="continuationSeparator" w:id="0">
    <w:p w:rsidR="002C55F3" w:rsidRDefault="002C5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85" w:rsidRDefault="00C12485" w:rsidP="00C12485">
    <w:pPr>
      <w:pStyle w:val="Header"/>
      <w:tabs>
        <w:tab w:val="clear" w:pos="8640"/>
        <w:tab w:val="left" w:pos="2490"/>
        <w:tab w:val="right" w:pos="8646"/>
      </w:tabs>
    </w:pPr>
    <w:r>
      <w:rPr>
        <w:lang w:val="el-GR"/>
      </w:rPr>
      <w:tab/>
    </w:r>
    <w:r>
      <w:rPr>
        <w:lang w:val="el-GR"/>
      </w:rPr>
      <w:tab/>
    </w:r>
    <w:r>
      <w:rPr>
        <w:lang w:val="el-GR"/>
      </w:rPr>
      <w:tab/>
    </w:r>
  </w:p>
  <w:p w:rsidR="00C12485" w:rsidRDefault="00C12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924"/>
    <w:multiLevelType w:val="hybridMultilevel"/>
    <w:tmpl w:val="F19811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3857C73"/>
    <w:multiLevelType w:val="multilevel"/>
    <w:tmpl w:val="5A8E8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9701F94"/>
    <w:multiLevelType w:val="hybridMultilevel"/>
    <w:tmpl w:val="5A1C7BF0"/>
    <w:lvl w:ilvl="0" w:tplc="12BC2D44">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17811"/>
    <w:multiLevelType w:val="hybridMultilevel"/>
    <w:tmpl w:val="4204F21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2E716D97"/>
    <w:multiLevelType w:val="hybridMultilevel"/>
    <w:tmpl w:val="FF10A6D4"/>
    <w:lvl w:ilvl="0" w:tplc="B3BA776C">
      <w:start w:val="1"/>
      <w:numFmt w:val="lowerRoma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3E4A63A3"/>
    <w:multiLevelType w:val="multilevel"/>
    <w:tmpl w:val="6B0AB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28A6D93"/>
    <w:multiLevelType w:val="multilevel"/>
    <w:tmpl w:val="DBD04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3D75E52"/>
    <w:multiLevelType w:val="hybridMultilevel"/>
    <w:tmpl w:val="4204F21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49E217A8"/>
    <w:multiLevelType w:val="hybridMultilevel"/>
    <w:tmpl w:val="5FAC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FF1762"/>
    <w:multiLevelType w:val="hybridMultilevel"/>
    <w:tmpl w:val="F93875A0"/>
    <w:lvl w:ilvl="0" w:tplc="B1F8F3A8">
      <w:start w:val="1"/>
      <w:numFmt w:val="decimal"/>
      <w:lvlText w:val="%1."/>
      <w:lvlJc w:val="left"/>
      <w:pPr>
        <w:ind w:left="720" w:hanging="360"/>
      </w:pPr>
      <w:rPr>
        <w:rFonts w:eastAsiaTheme="minorHAnsi"/>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6E840A8B"/>
    <w:multiLevelType w:val="hybridMultilevel"/>
    <w:tmpl w:val="5FE2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205976"/>
    <w:multiLevelType w:val="hybridMultilevel"/>
    <w:tmpl w:val="7A8A9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11"/>
  </w:num>
  <w:num w:numId="3">
    <w:abstractNumId w:val="1"/>
  </w:num>
  <w:num w:numId="4">
    <w:abstractNumId w:val="5"/>
  </w:num>
  <w:num w:numId="5">
    <w:abstractNumId w:val="6"/>
  </w:num>
  <w:num w:numId="6">
    <w:abstractNumId w:val="4"/>
  </w:num>
  <w:num w:numId="7">
    <w:abstractNumId w:val="2"/>
  </w:num>
  <w:num w:numId="8">
    <w:abstractNumId w:val="10"/>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FA"/>
    <w:rsid w:val="00004FE4"/>
    <w:rsid w:val="00043C3E"/>
    <w:rsid w:val="00054BFB"/>
    <w:rsid w:val="00063B9D"/>
    <w:rsid w:val="00074543"/>
    <w:rsid w:val="00077095"/>
    <w:rsid w:val="00097085"/>
    <w:rsid w:val="000B3B68"/>
    <w:rsid w:val="000B4317"/>
    <w:rsid w:val="000C5CE8"/>
    <w:rsid w:val="0010024E"/>
    <w:rsid w:val="00101BC1"/>
    <w:rsid w:val="001131BA"/>
    <w:rsid w:val="00130374"/>
    <w:rsid w:val="001512A7"/>
    <w:rsid w:val="00152F56"/>
    <w:rsid w:val="001546D1"/>
    <w:rsid w:val="00181279"/>
    <w:rsid w:val="001A2ECB"/>
    <w:rsid w:val="001A38A8"/>
    <w:rsid w:val="001D07D2"/>
    <w:rsid w:val="001D26B6"/>
    <w:rsid w:val="001D575E"/>
    <w:rsid w:val="001E0AA6"/>
    <w:rsid w:val="001E105F"/>
    <w:rsid w:val="001E474D"/>
    <w:rsid w:val="001E60C9"/>
    <w:rsid w:val="001F0599"/>
    <w:rsid w:val="001F589A"/>
    <w:rsid w:val="001F6DEA"/>
    <w:rsid w:val="00203F3F"/>
    <w:rsid w:val="0021551F"/>
    <w:rsid w:val="00224118"/>
    <w:rsid w:val="00224E89"/>
    <w:rsid w:val="002272F2"/>
    <w:rsid w:val="00230BE3"/>
    <w:rsid w:val="002352AB"/>
    <w:rsid w:val="002A4BB4"/>
    <w:rsid w:val="002A73AD"/>
    <w:rsid w:val="002B479E"/>
    <w:rsid w:val="002C51B7"/>
    <w:rsid w:val="002C55F3"/>
    <w:rsid w:val="002C5D91"/>
    <w:rsid w:val="002D0705"/>
    <w:rsid w:val="0030055A"/>
    <w:rsid w:val="00313E00"/>
    <w:rsid w:val="003307DE"/>
    <w:rsid w:val="00355262"/>
    <w:rsid w:val="00391D2A"/>
    <w:rsid w:val="003A268B"/>
    <w:rsid w:val="003D3EAB"/>
    <w:rsid w:val="003E6AE5"/>
    <w:rsid w:val="00403835"/>
    <w:rsid w:val="00411A5E"/>
    <w:rsid w:val="0041267B"/>
    <w:rsid w:val="0044454D"/>
    <w:rsid w:val="00446FA6"/>
    <w:rsid w:val="004642DA"/>
    <w:rsid w:val="00473F6B"/>
    <w:rsid w:val="00491566"/>
    <w:rsid w:val="004A4F52"/>
    <w:rsid w:val="004B2332"/>
    <w:rsid w:val="004E2A36"/>
    <w:rsid w:val="0050085B"/>
    <w:rsid w:val="005016D5"/>
    <w:rsid w:val="00531036"/>
    <w:rsid w:val="0053391A"/>
    <w:rsid w:val="00560BFB"/>
    <w:rsid w:val="005616FA"/>
    <w:rsid w:val="005914DE"/>
    <w:rsid w:val="00592B3A"/>
    <w:rsid w:val="005B0EC3"/>
    <w:rsid w:val="005B25E6"/>
    <w:rsid w:val="005B7537"/>
    <w:rsid w:val="005E2B5B"/>
    <w:rsid w:val="005F3C18"/>
    <w:rsid w:val="005F54D1"/>
    <w:rsid w:val="00607680"/>
    <w:rsid w:val="006379B3"/>
    <w:rsid w:val="00657168"/>
    <w:rsid w:val="006578AD"/>
    <w:rsid w:val="00661534"/>
    <w:rsid w:val="0068412C"/>
    <w:rsid w:val="00690B0A"/>
    <w:rsid w:val="00691655"/>
    <w:rsid w:val="006A253A"/>
    <w:rsid w:val="006D5EB1"/>
    <w:rsid w:val="006F0722"/>
    <w:rsid w:val="006F20D5"/>
    <w:rsid w:val="007301D4"/>
    <w:rsid w:val="00730BFD"/>
    <w:rsid w:val="00734B25"/>
    <w:rsid w:val="007672E0"/>
    <w:rsid w:val="007B4B0C"/>
    <w:rsid w:val="00814843"/>
    <w:rsid w:val="008B23D4"/>
    <w:rsid w:val="008D2EA3"/>
    <w:rsid w:val="008E07BD"/>
    <w:rsid w:val="008E0A64"/>
    <w:rsid w:val="008F736D"/>
    <w:rsid w:val="00954779"/>
    <w:rsid w:val="009A09DD"/>
    <w:rsid w:val="009C53D6"/>
    <w:rsid w:val="009D4768"/>
    <w:rsid w:val="009D726E"/>
    <w:rsid w:val="009F3B4F"/>
    <w:rsid w:val="00A00C57"/>
    <w:rsid w:val="00A76B81"/>
    <w:rsid w:val="00AA354C"/>
    <w:rsid w:val="00AC5403"/>
    <w:rsid w:val="00AF3B5C"/>
    <w:rsid w:val="00B14AD2"/>
    <w:rsid w:val="00B55BE4"/>
    <w:rsid w:val="00B742F3"/>
    <w:rsid w:val="00B8565E"/>
    <w:rsid w:val="00B95176"/>
    <w:rsid w:val="00BA79C7"/>
    <w:rsid w:val="00BC5F7E"/>
    <w:rsid w:val="00C04DC7"/>
    <w:rsid w:val="00C12485"/>
    <w:rsid w:val="00C275CF"/>
    <w:rsid w:val="00C35877"/>
    <w:rsid w:val="00C46D0A"/>
    <w:rsid w:val="00CB634D"/>
    <w:rsid w:val="00CC4A65"/>
    <w:rsid w:val="00CF0E23"/>
    <w:rsid w:val="00D729D5"/>
    <w:rsid w:val="00D7313B"/>
    <w:rsid w:val="00DA4852"/>
    <w:rsid w:val="00DC42A5"/>
    <w:rsid w:val="00DD1E4F"/>
    <w:rsid w:val="00DE0E49"/>
    <w:rsid w:val="00E13866"/>
    <w:rsid w:val="00E174E8"/>
    <w:rsid w:val="00E2143C"/>
    <w:rsid w:val="00E409EE"/>
    <w:rsid w:val="00E640EE"/>
    <w:rsid w:val="00E719FF"/>
    <w:rsid w:val="00F21947"/>
    <w:rsid w:val="00F66178"/>
    <w:rsid w:val="00F71EAA"/>
    <w:rsid w:val="00F74ECA"/>
    <w:rsid w:val="00F8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431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D2"/>
    <w:rPr>
      <w:color w:val="0000FF" w:themeColor="hyperlink"/>
      <w:u w:val="single"/>
    </w:rPr>
  </w:style>
  <w:style w:type="paragraph" w:styleId="BalloonText">
    <w:name w:val="Balloon Text"/>
    <w:basedOn w:val="Normal"/>
    <w:link w:val="BalloonTextChar"/>
    <w:uiPriority w:val="99"/>
    <w:semiHidden/>
    <w:unhideWhenUsed/>
    <w:rsid w:val="00C3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77"/>
    <w:rPr>
      <w:rFonts w:ascii="Tahoma" w:hAnsi="Tahoma" w:cs="Tahoma"/>
      <w:sz w:val="16"/>
      <w:szCs w:val="16"/>
    </w:rPr>
  </w:style>
  <w:style w:type="paragraph" w:styleId="ListParagraph">
    <w:name w:val="List Paragraph"/>
    <w:basedOn w:val="Normal"/>
    <w:uiPriority w:val="34"/>
    <w:qFormat/>
    <w:rsid w:val="001A38A8"/>
    <w:pPr>
      <w:ind w:left="720"/>
      <w:contextualSpacing/>
    </w:pPr>
  </w:style>
  <w:style w:type="character" w:styleId="CommentReference">
    <w:name w:val="annotation reference"/>
    <w:basedOn w:val="DefaultParagraphFont"/>
    <w:uiPriority w:val="99"/>
    <w:semiHidden/>
    <w:unhideWhenUsed/>
    <w:rsid w:val="007B4B0C"/>
    <w:rPr>
      <w:sz w:val="16"/>
      <w:szCs w:val="16"/>
    </w:rPr>
  </w:style>
  <w:style w:type="paragraph" w:styleId="CommentText">
    <w:name w:val="annotation text"/>
    <w:basedOn w:val="Normal"/>
    <w:link w:val="CommentTextChar"/>
    <w:uiPriority w:val="99"/>
    <w:unhideWhenUsed/>
    <w:rsid w:val="007B4B0C"/>
    <w:pPr>
      <w:spacing w:line="240" w:lineRule="auto"/>
    </w:pPr>
    <w:rPr>
      <w:sz w:val="20"/>
      <w:szCs w:val="20"/>
    </w:rPr>
  </w:style>
  <w:style w:type="character" w:customStyle="1" w:styleId="CommentTextChar">
    <w:name w:val="Comment Text Char"/>
    <w:basedOn w:val="DefaultParagraphFont"/>
    <w:link w:val="CommentText"/>
    <w:uiPriority w:val="99"/>
    <w:rsid w:val="007B4B0C"/>
    <w:rPr>
      <w:sz w:val="20"/>
      <w:szCs w:val="20"/>
    </w:rPr>
  </w:style>
  <w:style w:type="paragraph" w:styleId="CommentSubject">
    <w:name w:val="annotation subject"/>
    <w:basedOn w:val="CommentText"/>
    <w:next w:val="CommentText"/>
    <w:link w:val="CommentSubjectChar"/>
    <w:uiPriority w:val="99"/>
    <w:semiHidden/>
    <w:unhideWhenUsed/>
    <w:rsid w:val="007B4B0C"/>
    <w:rPr>
      <w:b/>
      <w:bCs/>
    </w:rPr>
  </w:style>
  <w:style w:type="character" w:customStyle="1" w:styleId="CommentSubjectChar">
    <w:name w:val="Comment Subject Char"/>
    <w:basedOn w:val="CommentTextChar"/>
    <w:link w:val="CommentSubject"/>
    <w:uiPriority w:val="99"/>
    <w:semiHidden/>
    <w:rsid w:val="007B4B0C"/>
    <w:rPr>
      <w:b/>
      <w:bCs/>
      <w:sz w:val="20"/>
      <w:szCs w:val="20"/>
    </w:rPr>
  </w:style>
  <w:style w:type="character" w:customStyle="1" w:styleId="Heading2Char">
    <w:name w:val="Heading 2 Char"/>
    <w:basedOn w:val="DefaultParagraphFont"/>
    <w:link w:val="Heading2"/>
    <w:uiPriority w:val="9"/>
    <w:rsid w:val="000B4317"/>
    <w:rPr>
      <w:rFonts w:asciiTheme="majorHAnsi" w:eastAsiaTheme="majorEastAsia" w:hAnsiTheme="majorHAnsi" w:cstheme="majorBidi"/>
      <w:color w:val="365F91" w:themeColor="accent1" w:themeShade="BF"/>
      <w:sz w:val="26"/>
      <w:szCs w:val="26"/>
      <w:lang w:eastAsia="el-GR"/>
    </w:rPr>
  </w:style>
  <w:style w:type="numbering" w:customStyle="1" w:styleId="NoList1">
    <w:name w:val="No List1"/>
    <w:next w:val="NoList"/>
    <w:uiPriority w:val="99"/>
    <w:semiHidden/>
    <w:unhideWhenUsed/>
    <w:rsid w:val="000B4317"/>
  </w:style>
  <w:style w:type="paragraph" w:customStyle="1" w:styleId="txt-1">
    <w:name w:val="txt-1"/>
    <w:basedOn w:val="Normal"/>
    <w:rsid w:val="000B4317"/>
    <w:pPr>
      <w:spacing w:after="0" w:line="360" w:lineRule="atLeast"/>
      <w:ind w:firstLine="567"/>
      <w:jc w:val="both"/>
    </w:pPr>
    <w:rPr>
      <w:rFonts w:ascii="Arial" w:eastAsia="Times New Roman" w:hAnsi="Arial" w:cs="Times New Roman"/>
      <w:sz w:val="26"/>
      <w:szCs w:val="20"/>
      <w:lang w:val="en-GB"/>
    </w:rPr>
  </w:style>
  <w:style w:type="table" w:styleId="TableGrid">
    <w:name w:val="Table Grid"/>
    <w:basedOn w:val="TableNormal"/>
    <w:uiPriority w:val="39"/>
    <w:rsid w:val="000B431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43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4317"/>
    <w:pPr>
      <w:tabs>
        <w:tab w:val="center" w:pos="4320"/>
        <w:tab w:val="right" w:pos="8640"/>
      </w:tabs>
      <w:spacing w:after="0" w:line="240" w:lineRule="auto"/>
    </w:pPr>
    <w:rPr>
      <w:rFonts w:ascii="Arial Unicode MS" w:eastAsia="Arial Unicode MS" w:hAnsi="Arial Unicode MS" w:cs="Arial Unicode MS"/>
      <w:color w:val="000000"/>
      <w:sz w:val="24"/>
      <w:szCs w:val="24"/>
      <w:lang w:eastAsia="el-GR"/>
    </w:rPr>
  </w:style>
  <w:style w:type="character" w:customStyle="1" w:styleId="HeaderChar">
    <w:name w:val="Header Char"/>
    <w:basedOn w:val="DefaultParagraphFont"/>
    <w:link w:val="Header"/>
    <w:uiPriority w:val="99"/>
    <w:rsid w:val="000B4317"/>
    <w:rPr>
      <w:rFonts w:ascii="Arial Unicode MS" w:eastAsia="Arial Unicode MS" w:hAnsi="Arial Unicode MS" w:cs="Arial Unicode MS"/>
      <w:color w:val="000000"/>
      <w:sz w:val="24"/>
      <w:szCs w:val="24"/>
      <w:lang w:eastAsia="el-GR"/>
    </w:rPr>
  </w:style>
  <w:style w:type="paragraph" w:styleId="Footer">
    <w:name w:val="footer"/>
    <w:basedOn w:val="Normal"/>
    <w:link w:val="FooterChar"/>
    <w:uiPriority w:val="99"/>
    <w:unhideWhenUsed/>
    <w:rsid w:val="000B4317"/>
    <w:pPr>
      <w:tabs>
        <w:tab w:val="center" w:pos="4320"/>
        <w:tab w:val="right" w:pos="8640"/>
      </w:tabs>
      <w:spacing w:after="0" w:line="240" w:lineRule="auto"/>
    </w:pPr>
    <w:rPr>
      <w:rFonts w:ascii="Arial Unicode MS" w:eastAsia="Arial Unicode MS" w:hAnsi="Arial Unicode MS" w:cs="Arial Unicode MS"/>
      <w:color w:val="000000"/>
      <w:sz w:val="24"/>
      <w:szCs w:val="24"/>
      <w:lang w:eastAsia="el-GR"/>
    </w:rPr>
  </w:style>
  <w:style w:type="character" w:customStyle="1" w:styleId="FooterChar">
    <w:name w:val="Footer Char"/>
    <w:basedOn w:val="DefaultParagraphFont"/>
    <w:link w:val="Footer"/>
    <w:uiPriority w:val="99"/>
    <w:rsid w:val="000B4317"/>
    <w:rPr>
      <w:rFonts w:ascii="Arial Unicode MS" w:eastAsia="Arial Unicode MS" w:hAnsi="Arial Unicode MS" w:cs="Arial Unicode MS"/>
      <w:color w:val="000000"/>
      <w:sz w:val="24"/>
      <w:szCs w:val="24"/>
      <w:lang w:eastAsia="el-GR"/>
    </w:rPr>
  </w:style>
  <w:style w:type="paragraph" w:customStyle="1" w:styleId="Textbodynormal">
    <w:name w:val="Text body.normal"/>
    <w:basedOn w:val="BodyText"/>
    <w:rsid w:val="000B4317"/>
  </w:style>
  <w:style w:type="paragraph" w:styleId="BodyText">
    <w:name w:val="Body Text"/>
    <w:basedOn w:val="Normal"/>
    <w:link w:val="BodyTextChar"/>
    <w:uiPriority w:val="99"/>
    <w:semiHidden/>
    <w:unhideWhenUsed/>
    <w:rsid w:val="000B4317"/>
    <w:pPr>
      <w:spacing w:after="120" w:line="240" w:lineRule="auto"/>
    </w:pPr>
    <w:rPr>
      <w:rFonts w:ascii="Arial Unicode MS" w:eastAsia="Arial Unicode MS" w:hAnsi="Arial Unicode MS" w:cs="Arial Unicode MS"/>
      <w:color w:val="000000"/>
      <w:sz w:val="24"/>
      <w:szCs w:val="24"/>
      <w:lang w:eastAsia="el-GR"/>
    </w:rPr>
  </w:style>
  <w:style w:type="character" w:customStyle="1" w:styleId="BodyTextChar">
    <w:name w:val="Body Text Char"/>
    <w:basedOn w:val="DefaultParagraphFont"/>
    <w:link w:val="BodyText"/>
    <w:uiPriority w:val="99"/>
    <w:semiHidden/>
    <w:rsid w:val="000B4317"/>
    <w:rPr>
      <w:rFonts w:ascii="Arial Unicode MS" w:eastAsia="Arial Unicode MS" w:hAnsi="Arial Unicode MS" w:cs="Arial Unicode MS"/>
      <w:color w:val="000000"/>
      <w:sz w:val="24"/>
      <w:szCs w:val="24"/>
      <w:lang w:eastAsia="el-GR"/>
    </w:rPr>
  </w:style>
  <w:style w:type="character" w:customStyle="1" w:styleId="hps">
    <w:name w:val="hps"/>
    <w:basedOn w:val="DefaultParagraphFont"/>
    <w:rsid w:val="000B4317"/>
  </w:style>
  <w:style w:type="paragraph" w:styleId="Revision">
    <w:name w:val="Revision"/>
    <w:hidden/>
    <w:uiPriority w:val="99"/>
    <w:semiHidden/>
    <w:rsid w:val="000B4317"/>
    <w:pPr>
      <w:spacing w:after="0" w:line="240" w:lineRule="auto"/>
    </w:pPr>
    <w:rPr>
      <w:rFonts w:ascii="Arial Unicode MS" w:eastAsia="Arial Unicode MS" w:hAnsi="Arial Unicode MS" w:cs="Arial Unicode MS"/>
      <w:color w:val="000000"/>
      <w:sz w:val="24"/>
      <w:szCs w:val="24"/>
      <w:lang w:eastAsia="el-GR"/>
    </w:rPr>
  </w:style>
  <w:style w:type="character" w:styleId="PlaceholderText">
    <w:name w:val="Placeholder Text"/>
    <w:basedOn w:val="DefaultParagraphFont"/>
    <w:uiPriority w:val="99"/>
    <w:semiHidden/>
    <w:rsid w:val="000B4317"/>
    <w:rPr>
      <w:color w:val="808080"/>
    </w:rPr>
  </w:style>
  <w:style w:type="paragraph" w:styleId="NoSpacing">
    <w:name w:val="No Spacing"/>
    <w:uiPriority w:val="1"/>
    <w:qFormat/>
    <w:rsid w:val="000B4317"/>
    <w:pPr>
      <w:spacing w:after="0" w:line="240" w:lineRule="auto"/>
    </w:pPr>
    <w:rPr>
      <w:rFonts w:ascii="Arial Unicode MS" w:eastAsia="Arial Unicode MS" w:hAnsi="Arial Unicode MS" w:cs="Arial Unicode MS"/>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431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D2"/>
    <w:rPr>
      <w:color w:val="0000FF" w:themeColor="hyperlink"/>
      <w:u w:val="single"/>
    </w:rPr>
  </w:style>
  <w:style w:type="paragraph" w:styleId="BalloonText">
    <w:name w:val="Balloon Text"/>
    <w:basedOn w:val="Normal"/>
    <w:link w:val="BalloonTextChar"/>
    <w:uiPriority w:val="99"/>
    <w:semiHidden/>
    <w:unhideWhenUsed/>
    <w:rsid w:val="00C3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77"/>
    <w:rPr>
      <w:rFonts w:ascii="Tahoma" w:hAnsi="Tahoma" w:cs="Tahoma"/>
      <w:sz w:val="16"/>
      <w:szCs w:val="16"/>
    </w:rPr>
  </w:style>
  <w:style w:type="paragraph" w:styleId="ListParagraph">
    <w:name w:val="List Paragraph"/>
    <w:basedOn w:val="Normal"/>
    <w:uiPriority w:val="34"/>
    <w:qFormat/>
    <w:rsid w:val="001A38A8"/>
    <w:pPr>
      <w:ind w:left="720"/>
      <w:contextualSpacing/>
    </w:pPr>
  </w:style>
  <w:style w:type="character" w:styleId="CommentReference">
    <w:name w:val="annotation reference"/>
    <w:basedOn w:val="DefaultParagraphFont"/>
    <w:uiPriority w:val="99"/>
    <w:semiHidden/>
    <w:unhideWhenUsed/>
    <w:rsid w:val="007B4B0C"/>
    <w:rPr>
      <w:sz w:val="16"/>
      <w:szCs w:val="16"/>
    </w:rPr>
  </w:style>
  <w:style w:type="paragraph" w:styleId="CommentText">
    <w:name w:val="annotation text"/>
    <w:basedOn w:val="Normal"/>
    <w:link w:val="CommentTextChar"/>
    <w:uiPriority w:val="99"/>
    <w:unhideWhenUsed/>
    <w:rsid w:val="007B4B0C"/>
    <w:pPr>
      <w:spacing w:line="240" w:lineRule="auto"/>
    </w:pPr>
    <w:rPr>
      <w:sz w:val="20"/>
      <w:szCs w:val="20"/>
    </w:rPr>
  </w:style>
  <w:style w:type="character" w:customStyle="1" w:styleId="CommentTextChar">
    <w:name w:val="Comment Text Char"/>
    <w:basedOn w:val="DefaultParagraphFont"/>
    <w:link w:val="CommentText"/>
    <w:uiPriority w:val="99"/>
    <w:rsid w:val="007B4B0C"/>
    <w:rPr>
      <w:sz w:val="20"/>
      <w:szCs w:val="20"/>
    </w:rPr>
  </w:style>
  <w:style w:type="paragraph" w:styleId="CommentSubject">
    <w:name w:val="annotation subject"/>
    <w:basedOn w:val="CommentText"/>
    <w:next w:val="CommentText"/>
    <w:link w:val="CommentSubjectChar"/>
    <w:uiPriority w:val="99"/>
    <w:semiHidden/>
    <w:unhideWhenUsed/>
    <w:rsid w:val="007B4B0C"/>
    <w:rPr>
      <w:b/>
      <w:bCs/>
    </w:rPr>
  </w:style>
  <w:style w:type="character" w:customStyle="1" w:styleId="CommentSubjectChar">
    <w:name w:val="Comment Subject Char"/>
    <w:basedOn w:val="CommentTextChar"/>
    <w:link w:val="CommentSubject"/>
    <w:uiPriority w:val="99"/>
    <w:semiHidden/>
    <w:rsid w:val="007B4B0C"/>
    <w:rPr>
      <w:b/>
      <w:bCs/>
      <w:sz w:val="20"/>
      <w:szCs w:val="20"/>
    </w:rPr>
  </w:style>
  <w:style w:type="character" w:customStyle="1" w:styleId="Heading2Char">
    <w:name w:val="Heading 2 Char"/>
    <w:basedOn w:val="DefaultParagraphFont"/>
    <w:link w:val="Heading2"/>
    <w:uiPriority w:val="9"/>
    <w:rsid w:val="000B4317"/>
    <w:rPr>
      <w:rFonts w:asciiTheme="majorHAnsi" w:eastAsiaTheme="majorEastAsia" w:hAnsiTheme="majorHAnsi" w:cstheme="majorBidi"/>
      <w:color w:val="365F91" w:themeColor="accent1" w:themeShade="BF"/>
      <w:sz w:val="26"/>
      <w:szCs w:val="26"/>
      <w:lang w:eastAsia="el-GR"/>
    </w:rPr>
  </w:style>
  <w:style w:type="numbering" w:customStyle="1" w:styleId="NoList1">
    <w:name w:val="No List1"/>
    <w:next w:val="NoList"/>
    <w:uiPriority w:val="99"/>
    <w:semiHidden/>
    <w:unhideWhenUsed/>
    <w:rsid w:val="000B4317"/>
  </w:style>
  <w:style w:type="paragraph" w:customStyle="1" w:styleId="txt-1">
    <w:name w:val="txt-1"/>
    <w:basedOn w:val="Normal"/>
    <w:rsid w:val="000B4317"/>
    <w:pPr>
      <w:spacing w:after="0" w:line="360" w:lineRule="atLeast"/>
      <w:ind w:firstLine="567"/>
      <w:jc w:val="both"/>
    </w:pPr>
    <w:rPr>
      <w:rFonts w:ascii="Arial" w:eastAsia="Times New Roman" w:hAnsi="Arial" w:cs="Times New Roman"/>
      <w:sz w:val="26"/>
      <w:szCs w:val="20"/>
      <w:lang w:val="en-GB"/>
    </w:rPr>
  </w:style>
  <w:style w:type="table" w:styleId="TableGrid">
    <w:name w:val="Table Grid"/>
    <w:basedOn w:val="TableNormal"/>
    <w:uiPriority w:val="39"/>
    <w:rsid w:val="000B431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43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4317"/>
    <w:pPr>
      <w:tabs>
        <w:tab w:val="center" w:pos="4320"/>
        <w:tab w:val="right" w:pos="8640"/>
      </w:tabs>
      <w:spacing w:after="0" w:line="240" w:lineRule="auto"/>
    </w:pPr>
    <w:rPr>
      <w:rFonts w:ascii="Arial Unicode MS" w:eastAsia="Arial Unicode MS" w:hAnsi="Arial Unicode MS" w:cs="Arial Unicode MS"/>
      <w:color w:val="000000"/>
      <w:sz w:val="24"/>
      <w:szCs w:val="24"/>
      <w:lang w:eastAsia="el-GR"/>
    </w:rPr>
  </w:style>
  <w:style w:type="character" w:customStyle="1" w:styleId="HeaderChar">
    <w:name w:val="Header Char"/>
    <w:basedOn w:val="DefaultParagraphFont"/>
    <w:link w:val="Header"/>
    <w:uiPriority w:val="99"/>
    <w:rsid w:val="000B4317"/>
    <w:rPr>
      <w:rFonts w:ascii="Arial Unicode MS" w:eastAsia="Arial Unicode MS" w:hAnsi="Arial Unicode MS" w:cs="Arial Unicode MS"/>
      <w:color w:val="000000"/>
      <w:sz w:val="24"/>
      <w:szCs w:val="24"/>
      <w:lang w:eastAsia="el-GR"/>
    </w:rPr>
  </w:style>
  <w:style w:type="paragraph" w:styleId="Footer">
    <w:name w:val="footer"/>
    <w:basedOn w:val="Normal"/>
    <w:link w:val="FooterChar"/>
    <w:uiPriority w:val="99"/>
    <w:unhideWhenUsed/>
    <w:rsid w:val="000B4317"/>
    <w:pPr>
      <w:tabs>
        <w:tab w:val="center" w:pos="4320"/>
        <w:tab w:val="right" w:pos="8640"/>
      </w:tabs>
      <w:spacing w:after="0" w:line="240" w:lineRule="auto"/>
    </w:pPr>
    <w:rPr>
      <w:rFonts w:ascii="Arial Unicode MS" w:eastAsia="Arial Unicode MS" w:hAnsi="Arial Unicode MS" w:cs="Arial Unicode MS"/>
      <w:color w:val="000000"/>
      <w:sz w:val="24"/>
      <w:szCs w:val="24"/>
      <w:lang w:eastAsia="el-GR"/>
    </w:rPr>
  </w:style>
  <w:style w:type="character" w:customStyle="1" w:styleId="FooterChar">
    <w:name w:val="Footer Char"/>
    <w:basedOn w:val="DefaultParagraphFont"/>
    <w:link w:val="Footer"/>
    <w:uiPriority w:val="99"/>
    <w:rsid w:val="000B4317"/>
    <w:rPr>
      <w:rFonts w:ascii="Arial Unicode MS" w:eastAsia="Arial Unicode MS" w:hAnsi="Arial Unicode MS" w:cs="Arial Unicode MS"/>
      <w:color w:val="000000"/>
      <w:sz w:val="24"/>
      <w:szCs w:val="24"/>
      <w:lang w:eastAsia="el-GR"/>
    </w:rPr>
  </w:style>
  <w:style w:type="paragraph" w:customStyle="1" w:styleId="Textbodynormal">
    <w:name w:val="Text body.normal"/>
    <w:basedOn w:val="BodyText"/>
    <w:rsid w:val="000B4317"/>
  </w:style>
  <w:style w:type="paragraph" w:styleId="BodyText">
    <w:name w:val="Body Text"/>
    <w:basedOn w:val="Normal"/>
    <w:link w:val="BodyTextChar"/>
    <w:uiPriority w:val="99"/>
    <w:semiHidden/>
    <w:unhideWhenUsed/>
    <w:rsid w:val="000B4317"/>
    <w:pPr>
      <w:spacing w:after="120" w:line="240" w:lineRule="auto"/>
    </w:pPr>
    <w:rPr>
      <w:rFonts w:ascii="Arial Unicode MS" w:eastAsia="Arial Unicode MS" w:hAnsi="Arial Unicode MS" w:cs="Arial Unicode MS"/>
      <w:color w:val="000000"/>
      <w:sz w:val="24"/>
      <w:szCs w:val="24"/>
      <w:lang w:eastAsia="el-GR"/>
    </w:rPr>
  </w:style>
  <w:style w:type="character" w:customStyle="1" w:styleId="BodyTextChar">
    <w:name w:val="Body Text Char"/>
    <w:basedOn w:val="DefaultParagraphFont"/>
    <w:link w:val="BodyText"/>
    <w:uiPriority w:val="99"/>
    <w:semiHidden/>
    <w:rsid w:val="000B4317"/>
    <w:rPr>
      <w:rFonts w:ascii="Arial Unicode MS" w:eastAsia="Arial Unicode MS" w:hAnsi="Arial Unicode MS" w:cs="Arial Unicode MS"/>
      <w:color w:val="000000"/>
      <w:sz w:val="24"/>
      <w:szCs w:val="24"/>
      <w:lang w:eastAsia="el-GR"/>
    </w:rPr>
  </w:style>
  <w:style w:type="character" w:customStyle="1" w:styleId="hps">
    <w:name w:val="hps"/>
    <w:basedOn w:val="DefaultParagraphFont"/>
    <w:rsid w:val="000B4317"/>
  </w:style>
  <w:style w:type="paragraph" w:styleId="Revision">
    <w:name w:val="Revision"/>
    <w:hidden/>
    <w:uiPriority w:val="99"/>
    <w:semiHidden/>
    <w:rsid w:val="000B4317"/>
    <w:pPr>
      <w:spacing w:after="0" w:line="240" w:lineRule="auto"/>
    </w:pPr>
    <w:rPr>
      <w:rFonts w:ascii="Arial Unicode MS" w:eastAsia="Arial Unicode MS" w:hAnsi="Arial Unicode MS" w:cs="Arial Unicode MS"/>
      <w:color w:val="000000"/>
      <w:sz w:val="24"/>
      <w:szCs w:val="24"/>
      <w:lang w:eastAsia="el-GR"/>
    </w:rPr>
  </w:style>
  <w:style w:type="character" w:styleId="PlaceholderText">
    <w:name w:val="Placeholder Text"/>
    <w:basedOn w:val="DefaultParagraphFont"/>
    <w:uiPriority w:val="99"/>
    <w:semiHidden/>
    <w:rsid w:val="000B4317"/>
    <w:rPr>
      <w:color w:val="808080"/>
    </w:rPr>
  </w:style>
  <w:style w:type="paragraph" w:styleId="NoSpacing">
    <w:name w:val="No Spacing"/>
    <w:uiPriority w:val="1"/>
    <w:qFormat/>
    <w:rsid w:val="000B4317"/>
    <w:pPr>
      <w:spacing w:after="0" w:line="240" w:lineRule="auto"/>
    </w:pPr>
    <w:rPr>
      <w:rFonts w:ascii="Arial Unicode MS" w:eastAsia="Arial Unicode MS" w:hAnsi="Arial Unicode MS" w:cs="Arial Unicode MS"/>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60166">
      <w:bodyDiv w:val="1"/>
      <w:marLeft w:val="0"/>
      <w:marRight w:val="0"/>
      <w:marTop w:val="0"/>
      <w:marBottom w:val="0"/>
      <w:divBdr>
        <w:top w:val="none" w:sz="0" w:space="0" w:color="auto"/>
        <w:left w:val="none" w:sz="0" w:space="0" w:color="auto"/>
        <w:bottom w:val="none" w:sz="0" w:space="0" w:color="auto"/>
        <w:right w:val="none" w:sz="0" w:space="0" w:color="auto"/>
      </w:divBdr>
    </w:div>
    <w:div w:id="798689114">
      <w:bodyDiv w:val="1"/>
      <w:marLeft w:val="0"/>
      <w:marRight w:val="0"/>
      <w:marTop w:val="0"/>
      <w:marBottom w:val="0"/>
      <w:divBdr>
        <w:top w:val="none" w:sz="0" w:space="0" w:color="auto"/>
        <w:left w:val="none" w:sz="0" w:space="0" w:color="auto"/>
        <w:bottom w:val="none" w:sz="0" w:space="0" w:color="auto"/>
        <w:right w:val="none" w:sz="0" w:space="0" w:color="auto"/>
      </w:divBdr>
    </w:div>
    <w:div w:id="853037080">
      <w:bodyDiv w:val="1"/>
      <w:marLeft w:val="0"/>
      <w:marRight w:val="0"/>
      <w:marTop w:val="0"/>
      <w:marBottom w:val="0"/>
      <w:divBdr>
        <w:top w:val="none" w:sz="0" w:space="0" w:color="auto"/>
        <w:left w:val="none" w:sz="0" w:space="0" w:color="auto"/>
        <w:bottom w:val="none" w:sz="0" w:space="0" w:color="auto"/>
        <w:right w:val="none" w:sz="0" w:space="0" w:color="auto"/>
      </w:divBdr>
    </w:div>
    <w:div w:id="1115249869">
      <w:bodyDiv w:val="1"/>
      <w:marLeft w:val="0"/>
      <w:marRight w:val="0"/>
      <w:marTop w:val="0"/>
      <w:marBottom w:val="0"/>
      <w:divBdr>
        <w:top w:val="none" w:sz="0" w:space="0" w:color="auto"/>
        <w:left w:val="none" w:sz="0" w:space="0" w:color="auto"/>
        <w:bottom w:val="none" w:sz="0" w:space="0" w:color="auto"/>
        <w:right w:val="none" w:sz="0" w:space="0" w:color="auto"/>
      </w:divBdr>
    </w:div>
    <w:div w:id="1196625661">
      <w:bodyDiv w:val="1"/>
      <w:marLeft w:val="0"/>
      <w:marRight w:val="0"/>
      <w:marTop w:val="0"/>
      <w:marBottom w:val="0"/>
      <w:divBdr>
        <w:top w:val="none" w:sz="0" w:space="0" w:color="auto"/>
        <w:left w:val="none" w:sz="0" w:space="0" w:color="auto"/>
        <w:bottom w:val="none" w:sz="0" w:space="0" w:color="auto"/>
        <w:right w:val="none" w:sz="0" w:space="0" w:color="auto"/>
      </w:divBdr>
    </w:div>
    <w:div w:id="1247568288">
      <w:bodyDiv w:val="1"/>
      <w:marLeft w:val="0"/>
      <w:marRight w:val="0"/>
      <w:marTop w:val="0"/>
      <w:marBottom w:val="0"/>
      <w:divBdr>
        <w:top w:val="none" w:sz="0" w:space="0" w:color="auto"/>
        <w:left w:val="none" w:sz="0" w:space="0" w:color="auto"/>
        <w:bottom w:val="none" w:sz="0" w:space="0" w:color="auto"/>
        <w:right w:val="none" w:sz="0" w:space="0" w:color="auto"/>
      </w:divBdr>
    </w:div>
    <w:div w:id="16474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5F9E-E84E-4BE1-B554-65AB3FE7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7663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cp:revision>
  <cp:lastPrinted>2021-06-22T07:10:00Z</cp:lastPrinted>
  <dcterms:created xsi:type="dcterms:W3CDTF">2021-06-22T07:13:00Z</dcterms:created>
  <dcterms:modified xsi:type="dcterms:W3CDTF">2021-06-22T07:13:00Z</dcterms:modified>
</cp:coreProperties>
</file>