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57878" w14:textId="77777777" w:rsidR="005616FA" w:rsidRPr="005616FA" w:rsidRDefault="005616FA" w:rsidP="005616FA">
      <w:pPr>
        <w:spacing w:after="0" w:line="240" w:lineRule="auto"/>
        <w:jc w:val="center"/>
        <w:rPr>
          <w:b/>
          <w:sz w:val="32"/>
          <w:szCs w:val="24"/>
          <w:lang w:val="el-GR"/>
        </w:rPr>
      </w:pPr>
      <w:r w:rsidRPr="005616FA">
        <w:rPr>
          <w:b/>
          <w:sz w:val="32"/>
          <w:szCs w:val="24"/>
          <w:lang w:val="el-GR"/>
        </w:rPr>
        <w:t>ΚΥΠΡΙΑΚΗ ΔΗΜΟΚΡΑΤΙΑ</w:t>
      </w:r>
    </w:p>
    <w:p w14:paraId="242B4B1E" w14:textId="77777777" w:rsidR="005616FA" w:rsidRPr="005616FA" w:rsidRDefault="005616FA" w:rsidP="005616FA">
      <w:pPr>
        <w:spacing w:after="0" w:line="240" w:lineRule="auto"/>
        <w:jc w:val="center"/>
        <w:rPr>
          <w:b/>
          <w:sz w:val="32"/>
          <w:szCs w:val="24"/>
          <w:lang w:val="el-GR"/>
        </w:rPr>
      </w:pPr>
      <w:r w:rsidRPr="005616FA">
        <w:rPr>
          <w:b/>
          <w:sz w:val="32"/>
          <w:szCs w:val="24"/>
          <w:lang w:val="el-GR"/>
        </w:rPr>
        <w:t>ΥΠΟΥΡΓΕΙΟ ΟΙΚΟΝΟΜΙΚΩΝ</w:t>
      </w:r>
    </w:p>
    <w:p w14:paraId="2BED883B" w14:textId="77777777" w:rsidR="005616FA" w:rsidRDefault="005616FA" w:rsidP="005616FA">
      <w:pPr>
        <w:spacing w:after="0" w:line="240" w:lineRule="auto"/>
        <w:jc w:val="center"/>
        <w:rPr>
          <w:b/>
          <w:sz w:val="28"/>
          <w:szCs w:val="24"/>
          <w:u w:val="single"/>
          <w:lang w:val="el-GR"/>
        </w:rPr>
      </w:pPr>
    </w:p>
    <w:p w14:paraId="787A99E6" w14:textId="0CB9E0B2" w:rsidR="005616FA" w:rsidRPr="00C0118F" w:rsidRDefault="005616FA" w:rsidP="00C0118F">
      <w:pPr>
        <w:spacing w:after="0" w:line="240" w:lineRule="auto"/>
        <w:jc w:val="center"/>
        <w:rPr>
          <w:b/>
          <w:sz w:val="28"/>
          <w:szCs w:val="24"/>
          <w:u w:val="single"/>
          <w:lang w:val="el-GR"/>
        </w:rPr>
      </w:pPr>
      <w:r w:rsidRPr="005616FA">
        <w:rPr>
          <w:b/>
          <w:sz w:val="28"/>
          <w:szCs w:val="24"/>
          <w:u w:val="single"/>
          <w:lang w:val="el-GR"/>
        </w:rPr>
        <w:t>ΔΗΜΟΣΙΑ ΔΙΑΒΟΥΛΕΥΣΗ</w:t>
      </w:r>
      <w:r w:rsidR="00C0118F">
        <w:rPr>
          <w:b/>
          <w:sz w:val="28"/>
          <w:szCs w:val="24"/>
          <w:u w:val="single"/>
          <w:lang w:val="el-GR"/>
        </w:rPr>
        <w:t xml:space="preserve"> α</w:t>
      </w:r>
      <w:r w:rsidRPr="005616FA">
        <w:rPr>
          <w:b/>
          <w:sz w:val="28"/>
          <w:szCs w:val="24"/>
          <w:u w:val="single"/>
          <w:lang w:val="el-GR"/>
        </w:rPr>
        <w:t xml:space="preserve">ναφορικά με </w:t>
      </w:r>
      <w:r w:rsidR="00EE566B">
        <w:rPr>
          <w:b/>
          <w:sz w:val="28"/>
          <w:szCs w:val="24"/>
          <w:u w:val="single"/>
          <w:lang w:val="el-GR"/>
        </w:rPr>
        <w:t xml:space="preserve">τις </w:t>
      </w:r>
      <w:r w:rsidR="00C0118F">
        <w:rPr>
          <w:b/>
          <w:sz w:val="28"/>
          <w:szCs w:val="24"/>
          <w:u w:val="single"/>
          <w:lang w:val="el-GR"/>
        </w:rPr>
        <w:t>δ</w:t>
      </w:r>
      <w:bookmarkStart w:id="0" w:name="_GoBack"/>
      <w:bookmarkEnd w:id="0"/>
      <w:r w:rsidR="00EE566B">
        <w:rPr>
          <w:b/>
          <w:sz w:val="28"/>
          <w:szCs w:val="24"/>
          <w:u w:val="single"/>
          <w:lang w:val="el-GR"/>
        </w:rPr>
        <w:t>ιακριτικές ευχέρειες που παρέχει η Οδηγία 2019</w:t>
      </w:r>
      <w:r w:rsidR="00CB3DCB">
        <w:rPr>
          <w:b/>
          <w:sz w:val="28"/>
          <w:szCs w:val="24"/>
          <w:u w:val="single"/>
          <w:lang w:val="el-GR"/>
        </w:rPr>
        <w:t>/879</w:t>
      </w:r>
      <w:r w:rsidR="00EE566B">
        <w:rPr>
          <w:b/>
          <w:sz w:val="28"/>
          <w:szCs w:val="24"/>
          <w:u w:val="single"/>
          <w:lang w:val="el-GR"/>
        </w:rPr>
        <w:t xml:space="preserve">/ΕΕ </w:t>
      </w:r>
    </w:p>
    <w:p w14:paraId="126F0052" w14:textId="77777777" w:rsidR="005616FA" w:rsidRPr="005616FA" w:rsidRDefault="005616FA" w:rsidP="005616FA">
      <w:pPr>
        <w:spacing w:after="0" w:line="240" w:lineRule="auto"/>
        <w:rPr>
          <w:sz w:val="24"/>
          <w:szCs w:val="24"/>
          <w:lang w:val="el-GR"/>
        </w:rPr>
      </w:pPr>
    </w:p>
    <w:p w14:paraId="476C15B1" w14:textId="77777777" w:rsidR="005616FA" w:rsidRPr="005E0555" w:rsidRDefault="005616FA" w:rsidP="005616FA">
      <w:pPr>
        <w:spacing w:after="0" w:line="240" w:lineRule="auto"/>
        <w:jc w:val="both"/>
        <w:rPr>
          <w:sz w:val="24"/>
          <w:szCs w:val="24"/>
          <w:lang w:val="el-GR"/>
        </w:rPr>
      </w:pPr>
      <w:r w:rsidRPr="005E0555">
        <w:rPr>
          <w:sz w:val="24"/>
          <w:szCs w:val="24"/>
          <w:lang w:val="el-GR"/>
        </w:rPr>
        <w:t>Το Υπουργείο Οικονομικών, στα πλαίσια θέσπισης αποτελεσματικών ρυθμίσεων και διαδικασιών διαβούλευσης με τους συμμετέχοντες στην αγορά</w:t>
      </w:r>
      <w:r w:rsidR="00004FE4" w:rsidRPr="005E0555">
        <w:rPr>
          <w:sz w:val="24"/>
          <w:szCs w:val="24"/>
          <w:lang w:val="el-GR"/>
        </w:rPr>
        <w:t>,</w:t>
      </w:r>
      <w:r w:rsidRPr="005E0555">
        <w:rPr>
          <w:sz w:val="24"/>
          <w:szCs w:val="24"/>
          <w:lang w:val="el-GR"/>
        </w:rPr>
        <w:t xml:space="preserve"> όσον αφορά τις προτεινόμενες αλλαγές στην εθνική </w:t>
      </w:r>
      <w:r w:rsidR="001D07D2" w:rsidRPr="005E0555">
        <w:rPr>
          <w:sz w:val="24"/>
          <w:szCs w:val="24"/>
          <w:lang w:val="el-GR"/>
        </w:rPr>
        <w:t>νομοθεσία, κυκλοφορεί το παρόν έ</w:t>
      </w:r>
      <w:r w:rsidRPr="005E0555">
        <w:rPr>
          <w:sz w:val="24"/>
          <w:szCs w:val="24"/>
          <w:lang w:val="el-GR"/>
        </w:rPr>
        <w:t>γγραφο για σκοπούς υποβολής απόψεων</w:t>
      </w:r>
      <w:r w:rsidR="00EE566B" w:rsidRPr="005E0555">
        <w:rPr>
          <w:sz w:val="24"/>
          <w:szCs w:val="24"/>
          <w:lang w:val="el-GR"/>
        </w:rPr>
        <w:t>, επί των διακριτικών ευχερειών που παρέχει η Οδηγία  (ΕΕ) 2019/879</w:t>
      </w:r>
      <w:r w:rsidR="001455E5" w:rsidRPr="00CA4C3E">
        <w:rPr>
          <w:sz w:val="24"/>
          <w:szCs w:val="24"/>
          <w:lang w:val="el-GR"/>
        </w:rPr>
        <w:t>.</w:t>
      </w:r>
      <w:r w:rsidR="00EE566B" w:rsidRPr="005E0555">
        <w:rPr>
          <w:sz w:val="24"/>
          <w:szCs w:val="24"/>
          <w:lang w:val="el-GR"/>
        </w:rPr>
        <w:t xml:space="preserve"> </w:t>
      </w:r>
    </w:p>
    <w:p w14:paraId="18890138" w14:textId="77777777" w:rsidR="005616FA" w:rsidRPr="005E0555" w:rsidRDefault="005616FA" w:rsidP="005616FA">
      <w:pPr>
        <w:spacing w:after="0" w:line="240" w:lineRule="auto"/>
        <w:jc w:val="both"/>
        <w:rPr>
          <w:sz w:val="24"/>
          <w:szCs w:val="24"/>
          <w:lang w:val="el-GR"/>
        </w:rPr>
      </w:pPr>
    </w:p>
    <w:p w14:paraId="5B00739F" w14:textId="77777777" w:rsidR="00AF3B5C" w:rsidRPr="005E0555" w:rsidRDefault="00EE566B" w:rsidP="005616FA">
      <w:pPr>
        <w:spacing w:after="0" w:line="240" w:lineRule="auto"/>
        <w:jc w:val="both"/>
        <w:rPr>
          <w:sz w:val="24"/>
          <w:szCs w:val="24"/>
          <w:lang w:val="el-GR"/>
        </w:rPr>
      </w:pPr>
      <w:r w:rsidRPr="005E0555">
        <w:rPr>
          <w:sz w:val="24"/>
          <w:szCs w:val="24"/>
          <w:lang w:val="el-GR"/>
        </w:rPr>
        <w:t xml:space="preserve">Η </w:t>
      </w:r>
      <w:r w:rsidR="005616FA" w:rsidRPr="005E0555">
        <w:rPr>
          <w:sz w:val="24"/>
          <w:szCs w:val="24"/>
          <w:lang w:val="el-GR"/>
        </w:rPr>
        <w:t xml:space="preserve">Οδηγία </w:t>
      </w:r>
      <w:r w:rsidR="004B5689" w:rsidRPr="005E0555">
        <w:rPr>
          <w:sz w:val="24"/>
          <w:szCs w:val="24"/>
          <w:lang w:val="el-GR"/>
        </w:rPr>
        <w:t xml:space="preserve">(ΕΕ) 2019/879 </w:t>
      </w:r>
      <w:r w:rsidR="005616FA" w:rsidRPr="005E0555">
        <w:rPr>
          <w:sz w:val="24"/>
          <w:szCs w:val="24"/>
          <w:lang w:val="el-GR"/>
        </w:rPr>
        <w:t xml:space="preserve">του Ευρωπαϊκού Κοινοβουλίου και του Συμβουλίου της </w:t>
      </w:r>
      <w:r w:rsidR="004B5689" w:rsidRPr="005E0555">
        <w:rPr>
          <w:sz w:val="24"/>
          <w:szCs w:val="24"/>
          <w:lang w:val="el-GR"/>
        </w:rPr>
        <w:t>20</w:t>
      </w:r>
      <w:r w:rsidR="005616FA" w:rsidRPr="005E0555">
        <w:rPr>
          <w:sz w:val="24"/>
          <w:szCs w:val="24"/>
          <w:lang w:val="el-GR"/>
        </w:rPr>
        <w:t>ης</w:t>
      </w:r>
      <w:r w:rsidR="001A38A8" w:rsidRPr="005E0555">
        <w:rPr>
          <w:sz w:val="24"/>
          <w:szCs w:val="24"/>
          <w:lang w:val="el-GR"/>
        </w:rPr>
        <w:t xml:space="preserve"> </w:t>
      </w:r>
      <w:r w:rsidR="004B5689" w:rsidRPr="005E0555">
        <w:rPr>
          <w:sz w:val="24"/>
          <w:szCs w:val="24"/>
          <w:lang w:val="el-GR"/>
        </w:rPr>
        <w:t>Μαΐου 2019</w:t>
      </w:r>
      <w:r w:rsidR="005616FA" w:rsidRPr="005E0555">
        <w:rPr>
          <w:sz w:val="24"/>
          <w:szCs w:val="24"/>
          <w:lang w:val="el-GR"/>
        </w:rPr>
        <w:t xml:space="preserve"> </w:t>
      </w:r>
      <w:r w:rsidR="004B5689" w:rsidRPr="005E0555">
        <w:rPr>
          <w:sz w:val="24"/>
          <w:szCs w:val="24"/>
          <w:lang w:val="el-GR"/>
        </w:rPr>
        <w:t xml:space="preserve">για την τροποποίηση της </w:t>
      </w:r>
      <w:r w:rsidR="00D8397E" w:rsidRPr="005E0555">
        <w:rPr>
          <w:sz w:val="24"/>
          <w:szCs w:val="24"/>
          <w:lang w:val="el-GR"/>
        </w:rPr>
        <w:t>ο</w:t>
      </w:r>
      <w:r w:rsidR="004B5689" w:rsidRPr="005E0555">
        <w:rPr>
          <w:sz w:val="24"/>
          <w:szCs w:val="24"/>
          <w:lang w:val="el-GR"/>
        </w:rPr>
        <w:t xml:space="preserve">δηγίας 2014/59/ΕΕ σχετικά με την ικανότητα απορρόφησης των ζημιών και </w:t>
      </w:r>
      <w:proofErr w:type="spellStart"/>
      <w:r w:rsidR="004B5689" w:rsidRPr="005E0555">
        <w:rPr>
          <w:sz w:val="24"/>
          <w:szCs w:val="24"/>
          <w:lang w:val="el-GR"/>
        </w:rPr>
        <w:t>ανακεφαλαιοποίησης</w:t>
      </w:r>
      <w:proofErr w:type="spellEnd"/>
      <w:r w:rsidR="004B5689" w:rsidRPr="005E0555">
        <w:rPr>
          <w:sz w:val="24"/>
          <w:szCs w:val="24"/>
          <w:lang w:val="el-GR"/>
        </w:rPr>
        <w:t xml:space="preserve"> των πιστωτικών ιδρυμάτων και επιχειρήσεων επενδύσεων και της οδηγίας 98/26/ΕΚ</w:t>
      </w:r>
      <w:r w:rsidR="00CB3DCB">
        <w:rPr>
          <w:sz w:val="24"/>
          <w:szCs w:val="24"/>
          <w:lang w:val="el-GR"/>
        </w:rPr>
        <w:t>,</w:t>
      </w:r>
      <w:r w:rsidRPr="005E0555">
        <w:rPr>
          <w:sz w:val="24"/>
          <w:szCs w:val="24"/>
          <w:lang w:val="el-GR"/>
        </w:rPr>
        <w:t xml:space="preserve"> δημοσιεύτηκε </w:t>
      </w:r>
      <w:r w:rsidR="001455E5" w:rsidRPr="005E0555">
        <w:rPr>
          <w:sz w:val="24"/>
          <w:szCs w:val="24"/>
          <w:lang w:val="el-GR"/>
        </w:rPr>
        <w:t>στην Επίσημη Εφημερίδα της Ευρωπαϊκής Ένωσης</w:t>
      </w:r>
      <w:r w:rsidR="00A83B68" w:rsidRPr="00A83B68">
        <w:rPr>
          <w:sz w:val="24"/>
          <w:szCs w:val="24"/>
          <w:lang w:val="el-GR"/>
        </w:rPr>
        <w:t xml:space="preserve"> (</w:t>
      </w:r>
      <w:r w:rsidR="00A83B68">
        <w:rPr>
          <w:sz w:val="24"/>
          <w:szCs w:val="24"/>
        </w:rPr>
        <w:t>EE</w:t>
      </w:r>
      <w:r w:rsidR="00A83B68" w:rsidRPr="00A83B68">
        <w:rPr>
          <w:sz w:val="24"/>
          <w:szCs w:val="24"/>
          <w:lang w:val="el-GR"/>
        </w:rPr>
        <w:t>)</w:t>
      </w:r>
      <w:r w:rsidR="001455E5" w:rsidRPr="005E0555">
        <w:rPr>
          <w:sz w:val="24"/>
          <w:szCs w:val="24"/>
          <w:lang w:val="el-GR"/>
        </w:rPr>
        <w:t xml:space="preserve"> </w:t>
      </w:r>
      <w:r w:rsidR="00A83B68">
        <w:rPr>
          <w:sz w:val="24"/>
          <w:szCs w:val="24"/>
          <w:lang w:val="el-GR"/>
        </w:rPr>
        <w:t>στις 7/</w:t>
      </w:r>
      <w:r w:rsidRPr="005E0555">
        <w:rPr>
          <w:sz w:val="24"/>
          <w:szCs w:val="24"/>
          <w:lang w:val="el-GR"/>
        </w:rPr>
        <w:t xml:space="preserve">6/2019 και τα κράτη μέλη </w:t>
      </w:r>
      <w:r w:rsidR="001455E5">
        <w:rPr>
          <w:sz w:val="24"/>
          <w:szCs w:val="24"/>
          <w:lang w:val="el-GR"/>
        </w:rPr>
        <w:t xml:space="preserve">έχουν </w:t>
      </w:r>
      <w:r w:rsidRPr="005E0555">
        <w:rPr>
          <w:sz w:val="24"/>
          <w:szCs w:val="24"/>
          <w:lang w:val="el-GR"/>
        </w:rPr>
        <w:t xml:space="preserve">υποχρέωση </w:t>
      </w:r>
      <w:r w:rsidR="00A83B68">
        <w:rPr>
          <w:sz w:val="24"/>
          <w:szCs w:val="24"/>
          <w:lang w:val="el-GR"/>
        </w:rPr>
        <w:t>εναρμόνισης</w:t>
      </w:r>
      <w:r w:rsidRPr="005E0555">
        <w:rPr>
          <w:sz w:val="24"/>
          <w:szCs w:val="24"/>
          <w:lang w:val="el-GR"/>
        </w:rPr>
        <w:t xml:space="preserve"> της Οδηγίας μέχρι 28/12/20</w:t>
      </w:r>
      <w:r w:rsidR="001455E5" w:rsidRPr="00CA4C3E">
        <w:rPr>
          <w:sz w:val="24"/>
          <w:szCs w:val="24"/>
          <w:lang w:val="el-GR"/>
        </w:rPr>
        <w:t>.</w:t>
      </w:r>
      <w:r w:rsidRPr="005E0555">
        <w:rPr>
          <w:sz w:val="24"/>
          <w:szCs w:val="24"/>
          <w:lang w:val="el-GR"/>
        </w:rPr>
        <w:t xml:space="preserve"> </w:t>
      </w:r>
    </w:p>
    <w:p w14:paraId="3B607008" w14:textId="77777777" w:rsidR="00AF3B5C" w:rsidRPr="005E0555" w:rsidRDefault="00AF3B5C" w:rsidP="00AF3B5C">
      <w:pPr>
        <w:spacing w:after="0" w:line="240" w:lineRule="auto"/>
        <w:jc w:val="both"/>
        <w:rPr>
          <w:sz w:val="24"/>
          <w:szCs w:val="24"/>
          <w:lang w:val="el-GR"/>
        </w:rPr>
      </w:pPr>
    </w:p>
    <w:p w14:paraId="7DB6B181" w14:textId="77777777" w:rsidR="00B741A8" w:rsidRPr="005E0555" w:rsidRDefault="00B741A8" w:rsidP="00454335">
      <w:pPr>
        <w:spacing w:after="0" w:line="240" w:lineRule="auto"/>
        <w:jc w:val="both"/>
        <w:rPr>
          <w:sz w:val="24"/>
          <w:szCs w:val="24"/>
          <w:lang w:val="el-GR"/>
        </w:rPr>
      </w:pPr>
      <w:r w:rsidRPr="005E0555">
        <w:rPr>
          <w:sz w:val="24"/>
          <w:szCs w:val="24"/>
          <w:lang w:val="el-GR"/>
        </w:rPr>
        <w:t xml:space="preserve">Η εν λόγω </w:t>
      </w:r>
      <w:r w:rsidR="00CB3DCB">
        <w:rPr>
          <w:sz w:val="24"/>
          <w:szCs w:val="24"/>
          <w:lang w:val="el-GR"/>
        </w:rPr>
        <w:t>Ο</w:t>
      </w:r>
      <w:r w:rsidR="00A83B68">
        <w:rPr>
          <w:sz w:val="24"/>
          <w:szCs w:val="24"/>
          <w:lang w:val="el-GR"/>
        </w:rPr>
        <w:t xml:space="preserve">δηγία αποτελεί </w:t>
      </w:r>
      <w:r w:rsidRPr="005E0555">
        <w:rPr>
          <w:sz w:val="24"/>
          <w:szCs w:val="24"/>
          <w:lang w:val="el-GR"/>
        </w:rPr>
        <w:t>συνέχεια των σημαντικών μεταρρυθμίσεων που προέβηκε τα τελευταία έτη η ΕΕ για μείωση των κινδύνων στον τραπεζικό τομέα και την ενίσχυση της ανθε</w:t>
      </w:r>
      <w:r w:rsidR="00A83B68">
        <w:rPr>
          <w:sz w:val="24"/>
          <w:szCs w:val="24"/>
          <w:lang w:val="el-GR"/>
        </w:rPr>
        <w:t xml:space="preserve">κτικότητας των χρηματοοικονομικών </w:t>
      </w:r>
      <w:r w:rsidRPr="005E0555">
        <w:rPr>
          <w:sz w:val="24"/>
          <w:szCs w:val="24"/>
          <w:lang w:val="el-GR"/>
        </w:rPr>
        <w:t>ιδρυμάτων στην ΕΕ με βάση τα παγκόσμια πρότυπα που έχουν συμφωνηθεί με τους διεθνείς εταίρους της ΕΕ.</w:t>
      </w:r>
    </w:p>
    <w:p w14:paraId="64C49075" w14:textId="77777777" w:rsidR="00B741A8" w:rsidRPr="005E0555" w:rsidRDefault="00B741A8" w:rsidP="00454335">
      <w:pPr>
        <w:spacing w:after="0" w:line="240" w:lineRule="auto"/>
        <w:jc w:val="both"/>
        <w:rPr>
          <w:rFonts w:ascii="Arial" w:eastAsia="Calibri" w:hAnsi="Arial" w:cs="Arial"/>
          <w:sz w:val="24"/>
          <w:szCs w:val="24"/>
          <w:lang w:val="el-GR"/>
        </w:rPr>
      </w:pPr>
      <w:r w:rsidRPr="005E0555">
        <w:rPr>
          <w:sz w:val="24"/>
          <w:szCs w:val="24"/>
          <w:lang w:val="el-GR"/>
        </w:rPr>
        <w:t xml:space="preserve"> </w:t>
      </w:r>
    </w:p>
    <w:p w14:paraId="63E6B63D" w14:textId="77777777" w:rsidR="009E086B" w:rsidRPr="009E086B" w:rsidRDefault="009E086B" w:rsidP="009E086B">
      <w:pPr>
        <w:jc w:val="both"/>
        <w:rPr>
          <w:sz w:val="24"/>
          <w:szCs w:val="24"/>
          <w:lang w:val="el-GR"/>
        </w:rPr>
      </w:pPr>
      <w:proofErr w:type="gramStart"/>
      <w:r w:rsidRPr="009E086B">
        <w:rPr>
          <w:sz w:val="24"/>
          <w:szCs w:val="24"/>
        </w:rPr>
        <w:t>H</w:t>
      </w:r>
      <w:r w:rsidRPr="009E086B">
        <w:rPr>
          <w:sz w:val="24"/>
          <w:szCs w:val="24"/>
          <w:lang w:val="el-GR"/>
        </w:rPr>
        <w:t xml:space="preserve"> </w:t>
      </w:r>
      <w:r w:rsidR="00D75F02">
        <w:rPr>
          <w:sz w:val="24"/>
          <w:szCs w:val="24"/>
          <w:lang w:val="el-GR"/>
        </w:rPr>
        <w:t xml:space="preserve"> </w:t>
      </w:r>
      <w:r w:rsidRPr="009E086B">
        <w:rPr>
          <w:sz w:val="24"/>
          <w:szCs w:val="24"/>
          <w:lang w:val="el-GR"/>
        </w:rPr>
        <w:t>Οδηγία</w:t>
      </w:r>
      <w:proofErr w:type="gramEnd"/>
      <w:r w:rsidRPr="009E086B">
        <w:rPr>
          <w:sz w:val="24"/>
          <w:szCs w:val="24"/>
          <w:lang w:val="el-GR"/>
        </w:rPr>
        <w:t xml:space="preserve"> (ΕΕ) 2019/879 είναι μέρος του πακέτου μέτρων του Συμβουλίου της ΕΕ για την περαιτέρω ενίσχυση της ανθεκτικότητας των τραπεζών της ΕΕ. Η Ανάλυση Αντικτύπου που πραγματοποιήθηκε για το εν λόγω πακέτο μέτρων βρίσκεται στον ακόλουθο σύνδεσμο:</w:t>
      </w:r>
    </w:p>
    <w:p w14:paraId="24EA24EB" w14:textId="77777777" w:rsidR="009E086B" w:rsidRDefault="00DB3EB6" w:rsidP="009E086B">
      <w:pPr>
        <w:spacing w:after="0" w:line="240" w:lineRule="auto"/>
        <w:jc w:val="both"/>
        <w:rPr>
          <w:color w:val="0000FF" w:themeColor="hyperlink"/>
          <w:sz w:val="24"/>
          <w:szCs w:val="24"/>
          <w:u w:val="single"/>
          <w:lang w:val="el-GR"/>
        </w:rPr>
      </w:pPr>
      <w:hyperlink r:id="rId7" w:history="1">
        <w:r w:rsidR="009E086B" w:rsidRPr="009E086B">
          <w:rPr>
            <w:color w:val="0000FF" w:themeColor="hyperlink"/>
            <w:sz w:val="24"/>
            <w:szCs w:val="24"/>
            <w:u w:val="single"/>
            <w:lang w:val="en-GB"/>
          </w:rPr>
          <w:t>https</w:t>
        </w:r>
        <w:r w:rsidR="009E086B" w:rsidRPr="009E086B">
          <w:rPr>
            <w:color w:val="0000FF" w:themeColor="hyperlink"/>
            <w:sz w:val="24"/>
            <w:szCs w:val="24"/>
            <w:u w:val="single"/>
            <w:lang w:val="el-GR"/>
          </w:rPr>
          <w:t>://</w:t>
        </w:r>
        <w:proofErr w:type="spellStart"/>
        <w:r w:rsidR="009E086B" w:rsidRPr="009E086B">
          <w:rPr>
            <w:color w:val="0000FF" w:themeColor="hyperlink"/>
            <w:sz w:val="24"/>
            <w:szCs w:val="24"/>
            <w:u w:val="single"/>
            <w:lang w:val="en-GB"/>
          </w:rPr>
          <w:t>ec</w:t>
        </w:r>
        <w:proofErr w:type="spellEnd"/>
        <w:r w:rsidR="009E086B" w:rsidRPr="009E086B">
          <w:rPr>
            <w:color w:val="0000FF" w:themeColor="hyperlink"/>
            <w:sz w:val="24"/>
            <w:szCs w:val="24"/>
            <w:u w:val="single"/>
            <w:lang w:val="el-GR"/>
          </w:rPr>
          <w:t>.</w:t>
        </w:r>
        <w:proofErr w:type="spellStart"/>
        <w:r w:rsidR="009E086B" w:rsidRPr="009E086B">
          <w:rPr>
            <w:color w:val="0000FF" w:themeColor="hyperlink"/>
            <w:sz w:val="24"/>
            <w:szCs w:val="24"/>
            <w:u w:val="single"/>
            <w:lang w:val="en-GB"/>
          </w:rPr>
          <w:t>europa</w:t>
        </w:r>
        <w:proofErr w:type="spellEnd"/>
        <w:r w:rsidR="009E086B" w:rsidRPr="009E086B">
          <w:rPr>
            <w:color w:val="0000FF" w:themeColor="hyperlink"/>
            <w:sz w:val="24"/>
            <w:szCs w:val="24"/>
            <w:u w:val="single"/>
            <w:lang w:val="el-GR"/>
          </w:rPr>
          <w:t>.</w:t>
        </w:r>
        <w:proofErr w:type="spellStart"/>
        <w:r w:rsidR="009E086B" w:rsidRPr="009E086B">
          <w:rPr>
            <w:color w:val="0000FF" w:themeColor="hyperlink"/>
            <w:sz w:val="24"/>
            <w:szCs w:val="24"/>
            <w:u w:val="single"/>
            <w:lang w:val="en-GB"/>
          </w:rPr>
          <w:t>eu</w:t>
        </w:r>
        <w:proofErr w:type="spellEnd"/>
        <w:r w:rsidR="009E086B" w:rsidRPr="009E086B">
          <w:rPr>
            <w:color w:val="0000FF" w:themeColor="hyperlink"/>
            <w:sz w:val="24"/>
            <w:szCs w:val="24"/>
            <w:u w:val="single"/>
            <w:lang w:val="el-GR"/>
          </w:rPr>
          <w:t>/</w:t>
        </w:r>
        <w:r w:rsidR="009E086B" w:rsidRPr="009E086B">
          <w:rPr>
            <w:color w:val="0000FF" w:themeColor="hyperlink"/>
            <w:sz w:val="24"/>
            <w:szCs w:val="24"/>
            <w:u w:val="single"/>
            <w:lang w:val="en-GB"/>
          </w:rPr>
          <w:t>info</w:t>
        </w:r>
        <w:r w:rsidR="009E086B" w:rsidRPr="009E086B">
          <w:rPr>
            <w:color w:val="0000FF" w:themeColor="hyperlink"/>
            <w:sz w:val="24"/>
            <w:szCs w:val="24"/>
            <w:u w:val="single"/>
            <w:lang w:val="el-GR"/>
          </w:rPr>
          <w:t>/</w:t>
        </w:r>
        <w:r w:rsidR="009E086B" w:rsidRPr="009E086B">
          <w:rPr>
            <w:color w:val="0000FF" w:themeColor="hyperlink"/>
            <w:sz w:val="24"/>
            <w:szCs w:val="24"/>
            <w:u w:val="single"/>
            <w:lang w:val="en-GB"/>
          </w:rPr>
          <w:t>publications</w:t>
        </w:r>
        <w:r w:rsidR="009E086B" w:rsidRPr="009E086B">
          <w:rPr>
            <w:color w:val="0000FF" w:themeColor="hyperlink"/>
            <w:sz w:val="24"/>
            <w:szCs w:val="24"/>
            <w:u w:val="single"/>
            <w:lang w:val="el-GR"/>
          </w:rPr>
          <w:t>/</w:t>
        </w:r>
        <w:r w:rsidR="009E086B" w:rsidRPr="009E086B">
          <w:rPr>
            <w:color w:val="0000FF" w:themeColor="hyperlink"/>
            <w:sz w:val="24"/>
            <w:szCs w:val="24"/>
            <w:u w:val="single"/>
            <w:lang w:val="en-GB"/>
          </w:rPr>
          <w:t>impact</w:t>
        </w:r>
        <w:r w:rsidR="009E086B" w:rsidRPr="009E086B">
          <w:rPr>
            <w:color w:val="0000FF" w:themeColor="hyperlink"/>
            <w:sz w:val="24"/>
            <w:szCs w:val="24"/>
            <w:u w:val="single"/>
            <w:lang w:val="el-GR"/>
          </w:rPr>
          <w:t>-</w:t>
        </w:r>
        <w:r w:rsidR="009E086B" w:rsidRPr="009E086B">
          <w:rPr>
            <w:color w:val="0000FF" w:themeColor="hyperlink"/>
            <w:sz w:val="24"/>
            <w:szCs w:val="24"/>
            <w:u w:val="single"/>
            <w:lang w:val="en-GB"/>
          </w:rPr>
          <w:t>assessment</w:t>
        </w:r>
        <w:r w:rsidR="009E086B" w:rsidRPr="009E086B">
          <w:rPr>
            <w:color w:val="0000FF" w:themeColor="hyperlink"/>
            <w:sz w:val="24"/>
            <w:szCs w:val="24"/>
            <w:u w:val="single"/>
            <w:lang w:val="el-GR"/>
          </w:rPr>
          <w:t>-</w:t>
        </w:r>
        <w:r w:rsidR="009E086B" w:rsidRPr="009E086B">
          <w:rPr>
            <w:color w:val="0000FF" w:themeColor="hyperlink"/>
            <w:sz w:val="24"/>
            <w:szCs w:val="24"/>
            <w:u w:val="single"/>
            <w:lang w:val="en-GB"/>
          </w:rPr>
          <w:t>package</w:t>
        </w:r>
        <w:r w:rsidR="009E086B" w:rsidRPr="009E086B">
          <w:rPr>
            <w:color w:val="0000FF" w:themeColor="hyperlink"/>
            <w:sz w:val="24"/>
            <w:szCs w:val="24"/>
            <w:u w:val="single"/>
            <w:lang w:val="el-GR"/>
          </w:rPr>
          <w:t>-</w:t>
        </w:r>
        <w:r w:rsidR="009E086B" w:rsidRPr="009E086B">
          <w:rPr>
            <w:color w:val="0000FF" w:themeColor="hyperlink"/>
            <w:sz w:val="24"/>
            <w:szCs w:val="24"/>
            <w:u w:val="single"/>
            <w:lang w:val="en-GB"/>
          </w:rPr>
          <w:t>proposals</w:t>
        </w:r>
        <w:r w:rsidR="009E086B" w:rsidRPr="009E086B">
          <w:rPr>
            <w:color w:val="0000FF" w:themeColor="hyperlink"/>
            <w:sz w:val="24"/>
            <w:szCs w:val="24"/>
            <w:u w:val="single"/>
            <w:lang w:val="el-GR"/>
          </w:rPr>
          <w:t>-</w:t>
        </w:r>
        <w:r w:rsidR="009E086B" w:rsidRPr="009E086B">
          <w:rPr>
            <w:color w:val="0000FF" w:themeColor="hyperlink"/>
            <w:sz w:val="24"/>
            <w:szCs w:val="24"/>
            <w:u w:val="single"/>
            <w:lang w:val="en-GB"/>
          </w:rPr>
          <w:t>further</w:t>
        </w:r>
        <w:r w:rsidR="009E086B" w:rsidRPr="009E086B">
          <w:rPr>
            <w:color w:val="0000FF" w:themeColor="hyperlink"/>
            <w:sz w:val="24"/>
            <w:szCs w:val="24"/>
            <w:u w:val="single"/>
            <w:lang w:val="el-GR"/>
          </w:rPr>
          <w:t>-</w:t>
        </w:r>
        <w:r w:rsidR="009E086B" w:rsidRPr="009E086B">
          <w:rPr>
            <w:color w:val="0000FF" w:themeColor="hyperlink"/>
            <w:sz w:val="24"/>
            <w:szCs w:val="24"/>
            <w:u w:val="single"/>
            <w:lang w:val="en-GB"/>
          </w:rPr>
          <w:t>strengthen</w:t>
        </w:r>
        <w:r w:rsidR="009E086B" w:rsidRPr="009E086B">
          <w:rPr>
            <w:color w:val="0000FF" w:themeColor="hyperlink"/>
            <w:sz w:val="24"/>
            <w:szCs w:val="24"/>
            <w:u w:val="single"/>
            <w:lang w:val="el-GR"/>
          </w:rPr>
          <w:t>-</w:t>
        </w:r>
        <w:r w:rsidR="009E086B" w:rsidRPr="009E086B">
          <w:rPr>
            <w:color w:val="0000FF" w:themeColor="hyperlink"/>
            <w:sz w:val="24"/>
            <w:szCs w:val="24"/>
            <w:u w:val="single"/>
            <w:lang w:val="en-GB"/>
          </w:rPr>
          <w:t>resilience</w:t>
        </w:r>
        <w:r w:rsidR="009E086B" w:rsidRPr="009E086B">
          <w:rPr>
            <w:color w:val="0000FF" w:themeColor="hyperlink"/>
            <w:sz w:val="24"/>
            <w:szCs w:val="24"/>
            <w:u w:val="single"/>
            <w:lang w:val="el-GR"/>
          </w:rPr>
          <w:t>-</w:t>
        </w:r>
        <w:proofErr w:type="spellStart"/>
        <w:r w:rsidR="009E086B" w:rsidRPr="009E086B">
          <w:rPr>
            <w:color w:val="0000FF" w:themeColor="hyperlink"/>
            <w:sz w:val="24"/>
            <w:szCs w:val="24"/>
            <w:u w:val="single"/>
            <w:lang w:val="en-GB"/>
          </w:rPr>
          <w:t>eu</w:t>
        </w:r>
        <w:proofErr w:type="spellEnd"/>
        <w:r w:rsidR="009E086B" w:rsidRPr="009E086B">
          <w:rPr>
            <w:color w:val="0000FF" w:themeColor="hyperlink"/>
            <w:sz w:val="24"/>
            <w:szCs w:val="24"/>
            <w:u w:val="single"/>
            <w:lang w:val="el-GR"/>
          </w:rPr>
          <w:t>-</w:t>
        </w:r>
        <w:r w:rsidR="009E086B" w:rsidRPr="009E086B">
          <w:rPr>
            <w:color w:val="0000FF" w:themeColor="hyperlink"/>
            <w:sz w:val="24"/>
            <w:szCs w:val="24"/>
            <w:u w:val="single"/>
            <w:lang w:val="en-GB"/>
          </w:rPr>
          <w:t>banks</w:t>
        </w:r>
        <w:r w:rsidR="009E086B" w:rsidRPr="009E086B">
          <w:rPr>
            <w:color w:val="0000FF" w:themeColor="hyperlink"/>
            <w:sz w:val="24"/>
            <w:szCs w:val="24"/>
            <w:u w:val="single"/>
            <w:lang w:val="el-GR"/>
          </w:rPr>
          <w:t>_</w:t>
        </w:r>
        <w:proofErr w:type="spellStart"/>
        <w:r w:rsidR="009E086B" w:rsidRPr="009E086B">
          <w:rPr>
            <w:color w:val="0000FF" w:themeColor="hyperlink"/>
            <w:sz w:val="24"/>
            <w:szCs w:val="24"/>
            <w:u w:val="single"/>
            <w:lang w:val="en-GB"/>
          </w:rPr>
          <w:t>en</w:t>
        </w:r>
        <w:proofErr w:type="spellEnd"/>
      </w:hyperlink>
    </w:p>
    <w:p w14:paraId="45970E48" w14:textId="77777777" w:rsidR="009E086B" w:rsidRPr="009E086B" w:rsidRDefault="009E086B" w:rsidP="009E086B">
      <w:pPr>
        <w:spacing w:after="0" w:line="240" w:lineRule="auto"/>
        <w:jc w:val="both"/>
        <w:rPr>
          <w:color w:val="0000FF" w:themeColor="hyperlink"/>
          <w:sz w:val="24"/>
          <w:szCs w:val="24"/>
          <w:u w:val="single"/>
          <w:lang w:val="el-GR"/>
        </w:rPr>
      </w:pPr>
    </w:p>
    <w:p w14:paraId="4F0BC1DD" w14:textId="77777777" w:rsidR="009E086B" w:rsidRDefault="009E086B" w:rsidP="009E086B">
      <w:pPr>
        <w:spacing w:after="0" w:line="240" w:lineRule="auto"/>
        <w:jc w:val="both"/>
        <w:rPr>
          <w:sz w:val="24"/>
          <w:szCs w:val="24"/>
          <w:lang w:val="el-GR"/>
        </w:rPr>
      </w:pPr>
      <w:r w:rsidRPr="005E0555">
        <w:rPr>
          <w:sz w:val="24"/>
          <w:szCs w:val="24"/>
          <w:lang w:val="el-GR"/>
        </w:rPr>
        <w:t xml:space="preserve">Περαιτέρω πληροφορίες για τις νέες απαιτήσεις του νομοθετικού πακέτου που περιλαμβάνει την Οδηγία (ΕΕ) 2019/879  βρίσκονται στον πιο κάτω σύνδεσμο: </w:t>
      </w:r>
    </w:p>
    <w:p w14:paraId="11190FBC" w14:textId="77777777" w:rsidR="009E086B" w:rsidRDefault="009E086B" w:rsidP="009E086B">
      <w:pPr>
        <w:spacing w:after="0" w:line="240" w:lineRule="auto"/>
        <w:jc w:val="both"/>
        <w:rPr>
          <w:sz w:val="24"/>
          <w:szCs w:val="24"/>
          <w:lang w:val="el-GR"/>
        </w:rPr>
      </w:pPr>
    </w:p>
    <w:p w14:paraId="097D479D" w14:textId="77777777" w:rsidR="009E086B" w:rsidRPr="00D75F02" w:rsidRDefault="00DB3EB6" w:rsidP="009E086B">
      <w:pPr>
        <w:spacing w:after="0" w:line="240" w:lineRule="auto"/>
        <w:jc w:val="both"/>
        <w:rPr>
          <w:color w:val="0000FF"/>
          <w:u w:val="single"/>
          <w:lang w:val="el-GR"/>
        </w:rPr>
      </w:pPr>
      <w:hyperlink r:id="rId8" w:history="1">
        <w:r w:rsidR="009E086B" w:rsidRPr="005E0555">
          <w:rPr>
            <w:color w:val="0000FF"/>
            <w:u w:val="single"/>
          </w:rPr>
          <w:t>https</w:t>
        </w:r>
        <w:r w:rsidR="009E086B" w:rsidRPr="005E0555">
          <w:rPr>
            <w:color w:val="0000FF"/>
            <w:u w:val="single"/>
            <w:lang w:val="el-GR"/>
          </w:rPr>
          <w:t>://</w:t>
        </w:r>
        <w:proofErr w:type="spellStart"/>
        <w:r w:rsidR="009E086B" w:rsidRPr="005E0555">
          <w:rPr>
            <w:color w:val="0000FF"/>
            <w:u w:val="single"/>
          </w:rPr>
          <w:t>eur</w:t>
        </w:r>
        <w:proofErr w:type="spellEnd"/>
        <w:r w:rsidR="009E086B" w:rsidRPr="005E0555">
          <w:rPr>
            <w:color w:val="0000FF"/>
            <w:u w:val="single"/>
            <w:lang w:val="el-GR"/>
          </w:rPr>
          <w:t>-</w:t>
        </w:r>
        <w:proofErr w:type="spellStart"/>
        <w:r w:rsidR="009E086B" w:rsidRPr="005E0555">
          <w:rPr>
            <w:color w:val="0000FF"/>
            <w:u w:val="single"/>
          </w:rPr>
          <w:t>lex</w:t>
        </w:r>
        <w:proofErr w:type="spellEnd"/>
        <w:r w:rsidR="009E086B" w:rsidRPr="005E0555">
          <w:rPr>
            <w:color w:val="0000FF"/>
            <w:u w:val="single"/>
            <w:lang w:val="el-GR"/>
          </w:rPr>
          <w:t>.</w:t>
        </w:r>
        <w:proofErr w:type="spellStart"/>
        <w:r w:rsidR="009E086B" w:rsidRPr="005E0555">
          <w:rPr>
            <w:color w:val="0000FF"/>
            <w:u w:val="single"/>
          </w:rPr>
          <w:t>europa</w:t>
        </w:r>
        <w:proofErr w:type="spellEnd"/>
        <w:r w:rsidR="009E086B" w:rsidRPr="005E0555">
          <w:rPr>
            <w:color w:val="0000FF"/>
            <w:u w:val="single"/>
            <w:lang w:val="el-GR"/>
          </w:rPr>
          <w:t>.</w:t>
        </w:r>
        <w:proofErr w:type="spellStart"/>
        <w:r w:rsidR="009E086B" w:rsidRPr="005E0555">
          <w:rPr>
            <w:color w:val="0000FF"/>
            <w:u w:val="single"/>
          </w:rPr>
          <w:t>eu</w:t>
        </w:r>
        <w:proofErr w:type="spellEnd"/>
        <w:r w:rsidR="009E086B" w:rsidRPr="005E0555">
          <w:rPr>
            <w:color w:val="0000FF"/>
            <w:u w:val="single"/>
            <w:lang w:val="el-GR"/>
          </w:rPr>
          <w:t>/</w:t>
        </w:r>
        <w:r w:rsidR="009E086B" w:rsidRPr="005E0555">
          <w:rPr>
            <w:color w:val="0000FF"/>
            <w:u w:val="single"/>
          </w:rPr>
          <w:t>legal</w:t>
        </w:r>
        <w:r w:rsidR="009E086B" w:rsidRPr="005E0555">
          <w:rPr>
            <w:color w:val="0000FF"/>
            <w:u w:val="single"/>
            <w:lang w:val="el-GR"/>
          </w:rPr>
          <w:t>-</w:t>
        </w:r>
        <w:r w:rsidR="009E086B" w:rsidRPr="005E0555">
          <w:rPr>
            <w:color w:val="0000FF"/>
            <w:u w:val="single"/>
          </w:rPr>
          <w:t>content</w:t>
        </w:r>
        <w:r w:rsidR="009E086B" w:rsidRPr="005E0555">
          <w:rPr>
            <w:color w:val="0000FF"/>
            <w:u w:val="single"/>
            <w:lang w:val="el-GR"/>
          </w:rPr>
          <w:t>/</w:t>
        </w:r>
        <w:r w:rsidR="009E086B" w:rsidRPr="005E0555">
          <w:rPr>
            <w:color w:val="0000FF"/>
            <w:u w:val="single"/>
          </w:rPr>
          <w:t>EL</w:t>
        </w:r>
        <w:r w:rsidR="009E086B" w:rsidRPr="005E0555">
          <w:rPr>
            <w:color w:val="0000FF"/>
            <w:u w:val="single"/>
            <w:lang w:val="el-GR"/>
          </w:rPr>
          <w:t>/</w:t>
        </w:r>
        <w:r w:rsidR="009E086B" w:rsidRPr="005E0555">
          <w:rPr>
            <w:color w:val="0000FF"/>
            <w:u w:val="single"/>
          </w:rPr>
          <w:t>TXT</w:t>
        </w:r>
        <w:r w:rsidR="009E086B" w:rsidRPr="005E0555">
          <w:rPr>
            <w:color w:val="0000FF"/>
            <w:u w:val="single"/>
            <w:lang w:val="el-GR"/>
          </w:rPr>
          <w:t>/</w:t>
        </w:r>
        <w:r w:rsidR="009E086B" w:rsidRPr="005E0555">
          <w:rPr>
            <w:color w:val="0000FF"/>
            <w:u w:val="single"/>
          </w:rPr>
          <w:t>PDF</w:t>
        </w:r>
        <w:r w:rsidR="009E086B" w:rsidRPr="005E0555">
          <w:rPr>
            <w:color w:val="0000FF"/>
            <w:u w:val="single"/>
            <w:lang w:val="el-GR"/>
          </w:rPr>
          <w:t>/?</w:t>
        </w:r>
        <w:proofErr w:type="spellStart"/>
        <w:r w:rsidR="009E086B" w:rsidRPr="005E0555">
          <w:rPr>
            <w:color w:val="0000FF"/>
            <w:u w:val="single"/>
          </w:rPr>
          <w:t>uri</w:t>
        </w:r>
        <w:proofErr w:type="spellEnd"/>
        <w:r w:rsidR="009E086B" w:rsidRPr="005E0555">
          <w:rPr>
            <w:color w:val="0000FF"/>
            <w:u w:val="single"/>
            <w:lang w:val="el-GR"/>
          </w:rPr>
          <w:t>=</w:t>
        </w:r>
        <w:r w:rsidR="009E086B" w:rsidRPr="005E0555">
          <w:rPr>
            <w:color w:val="0000FF"/>
            <w:u w:val="single"/>
          </w:rPr>
          <w:t>CELEX</w:t>
        </w:r>
        <w:r w:rsidR="009E086B" w:rsidRPr="005E0555">
          <w:rPr>
            <w:color w:val="0000FF"/>
            <w:u w:val="single"/>
            <w:lang w:val="el-GR"/>
          </w:rPr>
          <w:t>:32019</w:t>
        </w:r>
        <w:r w:rsidR="009E086B" w:rsidRPr="005E0555">
          <w:rPr>
            <w:color w:val="0000FF"/>
            <w:u w:val="single"/>
          </w:rPr>
          <w:t>L</w:t>
        </w:r>
        <w:r w:rsidR="009E086B" w:rsidRPr="005E0555">
          <w:rPr>
            <w:color w:val="0000FF"/>
            <w:u w:val="single"/>
            <w:lang w:val="el-GR"/>
          </w:rPr>
          <w:t>0879&amp;</w:t>
        </w:r>
        <w:r w:rsidR="009E086B" w:rsidRPr="005E0555">
          <w:rPr>
            <w:color w:val="0000FF"/>
            <w:u w:val="single"/>
          </w:rPr>
          <w:t>from</w:t>
        </w:r>
        <w:r w:rsidR="009E086B" w:rsidRPr="005E0555">
          <w:rPr>
            <w:color w:val="0000FF"/>
            <w:u w:val="single"/>
            <w:lang w:val="el-GR"/>
          </w:rPr>
          <w:t>=</w:t>
        </w:r>
        <w:r w:rsidR="009E086B" w:rsidRPr="005E0555">
          <w:rPr>
            <w:color w:val="0000FF"/>
            <w:u w:val="single"/>
          </w:rPr>
          <w:t>EN</w:t>
        </w:r>
      </w:hyperlink>
    </w:p>
    <w:p w14:paraId="2630FADF" w14:textId="77777777" w:rsidR="009E086B" w:rsidRPr="009E086B" w:rsidRDefault="009E086B" w:rsidP="009E086B">
      <w:pPr>
        <w:spacing w:after="0" w:line="240" w:lineRule="auto"/>
        <w:jc w:val="both"/>
        <w:rPr>
          <w:color w:val="0000FF" w:themeColor="hyperlink"/>
          <w:sz w:val="24"/>
          <w:szCs w:val="24"/>
          <w:u w:val="single"/>
          <w:lang w:val="el-GR"/>
        </w:rPr>
      </w:pPr>
    </w:p>
    <w:p w14:paraId="401516A0" w14:textId="77777777" w:rsidR="009E086B" w:rsidRDefault="009E086B" w:rsidP="009E086B">
      <w:pPr>
        <w:spacing w:after="0" w:line="240" w:lineRule="auto"/>
        <w:jc w:val="both"/>
        <w:rPr>
          <w:sz w:val="24"/>
          <w:szCs w:val="24"/>
          <w:lang w:val="el-GR"/>
        </w:rPr>
      </w:pPr>
      <w:r>
        <w:rPr>
          <w:sz w:val="24"/>
          <w:szCs w:val="24"/>
          <w:lang w:val="el-GR"/>
        </w:rPr>
        <w:t>Για σκοπούς εναρμόνισης της εθνικής νομοθεσίας με την εν λόγω  Οδηγία ετοιμάζονται τα πιο κάτω νομοσχέδια</w:t>
      </w:r>
      <w:r w:rsidRPr="00CA4C3E">
        <w:rPr>
          <w:sz w:val="24"/>
          <w:szCs w:val="24"/>
          <w:lang w:val="el-GR"/>
        </w:rPr>
        <w:t>:</w:t>
      </w:r>
    </w:p>
    <w:p w14:paraId="0411DB42" w14:textId="77777777" w:rsidR="009E086B" w:rsidRDefault="009E086B" w:rsidP="009E086B">
      <w:pPr>
        <w:spacing w:after="0" w:line="240" w:lineRule="auto"/>
        <w:jc w:val="both"/>
        <w:rPr>
          <w:sz w:val="24"/>
          <w:szCs w:val="24"/>
          <w:lang w:val="el-GR"/>
        </w:rPr>
      </w:pPr>
    </w:p>
    <w:p w14:paraId="3C15325E" w14:textId="77777777" w:rsidR="009E086B" w:rsidRPr="00570E17" w:rsidRDefault="009E086B" w:rsidP="009E086B">
      <w:pPr>
        <w:pStyle w:val="ListParagraph"/>
        <w:numPr>
          <w:ilvl w:val="0"/>
          <w:numId w:val="7"/>
        </w:numPr>
        <w:spacing w:after="0" w:line="240" w:lineRule="auto"/>
        <w:jc w:val="both"/>
        <w:rPr>
          <w:sz w:val="24"/>
          <w:szCs w:val="24"/>
          <w:lang w:val="el-GR"/>
        </w:rPr>
      </w:pPr>
      <w:r w:rsidRPr="00570E17">
        <w:rPr>
          <w:sz w:val="24"/>
          <w:szCs w:val="24"/>
          <w:lang w:val="el-GR"/>
        </w:rPr>
        <w:t>Νόμος που τροποποιεί τον Περί Εξυγίανσης Πιστωτικών Ιδρυμάτων και Επενδυτικών Εταιρειών Νόμο  του 2016 έως 2020</w:t>
      </w:r>
      <w:r>
        <w:rPr>
          <w:sz w:val="24"/>
          <w:szCs w:val="24"/>
          <w:lang w:val="el-GR"/>
        </w:rPr>
        <w:t>,</w:t>
      </w:r>
    </w:p>
    <w:p w14:paraId="143A0D41" w14:textId="77777777" w:rsidR="009E086B" w:rsidRPr="00570E17" w:rsidRDefault="009E086B" w:rsidP="009E086B">
      <w:pPr>
        <w:pStyle w:val="ListParagraph"/>
        <w:numPr>
          <w:ilvl w:val="0"/>
          <w:numId w:val="7"/>
        </w:numPr>
        <w:spacing w:after="0" w:line="240" w:lineRule="auto"/>
        <w:jc w:val="both"/>
        <w:rPr>
          <w:sz w:val="24"/>
          <w:szCs w:val="24"/>
          <w:lang w:val="el-GR"/>
        </w:rPr>
      </w:pPr>
      <w:r w:rsidRPr="00570E17">
        <w:rPr>
          <w:sz w:val="24"/>
          <w:szCs w:val="24"/>
          <w:lang w:val="el-GR"/>
        </w:rPr>
        <w:lastRenderedPageBreak/>
        <w:t xml:space="preserve">Νόμος που τροποποιεί τους Περί Εργασιών Πιστωτικών Ιδρυμάτων Νόμους του 1997 έως </w:t>
      </w:r>
      <w:r>
        <w:rPr>
          <w:sz w:val="24"/>
          <w:szCs w:val="24"/>
          <w:lang w:val="el-GR"/>
        </w:rPr>
        <w:t>2020</w:t>
      </w:r>
    </w:p>
    <w:p w14:paraId="121B2692" w14:textId="77777777" w:rsidR="009E086B" w:rsidRPr="00570E17" w:rsidRDefault="009E086B" w:rsidP="009E086B">
      <w:pPr>
        <w:pStyle w:val="ListParagraph"/>
        <w:numPr>
          <w:ilvl w:val="0"/>
          <w:numId w:val="7"/>
        </w:numPr>
        <w:spacing w:after="0" w:line="240" w:lineRule="auto"/>
        <w:jc w:val="both"/>
        <w:rPr>
          <w:sz w:val="24"/>
          <w:szCs w:val="24"/>
          <w:lang w:val="el-GR"/>
        </w:rPr>
      </w:pPr>
      <w:r w:rsidRPr="00570E17">
        <w:rPr>
          <w:sz w:val="24"/>
          <w:szCs w:val="24"/>
          <w:lang w:val="el-GR"/>
        </w:rPr>
        <w:t xml:space="preserve">Νόμος τροποποιεί τον Περί Ανάκαμψης ΚΕΠΕΥ και Λοιπών Οντοτήτων υπό την εποπτεία της Επιτροπής Κεφαλαιαγοράς και για συναφή θέματα </w:t>
      </w:r>
    </w:p>
    <w:p w14:paraId="36A36C1B" w14:textId="77777777" w:rsidR="00A83B68" w:rsidRDefault="00A83B68" w:rsidP="0044454D">
      <w:pPr>
        <w:spacing w:after="0" w:line="240" w:lineRule="auto"/>
        <w:jc w:val="both"/>
        <w:rPr>
          <w:sz w:val="24"/>
          <w:szCs w:val="24"/>
          <w:lang w:val="el-GR"/>
        </w:rPr>
      </w:pPr>
    </w:p>
    <w:p w14:paraId="36772312" w14:textId="77777777" w:rsidR="00857311" w:rsidRDefault="00857311" w:rsidP="00857311">
      <w:pPr>
        <w:spacing w:after="0" w:line="240" w:lineRule="auto"/>
        <w:jc w:val="both"/>
        <w:rPr>
          <w:sz w:val="24"/>
          <w:szCs w:val="24"/>
          <w:lang w:val="el-GR"/>
        </w:rPr>
      </w:pPr>
      <w:r>
        <w:rPr>
          <w:sz w:val="24"/>
          <w:szCs w:val="24"/>
          <w:lang w:val="el-GR"/>
        </w:rPr>
        <w:t xml:space="preserve">Τα πιο πάνω νομοσχέδια μεταφέρουν τις διατάξεις της Οδηγίας που είναι υποχρεωτική η εφαρμογή τους από τα κράτη μέλη καθώς και τις διατάξεις που αφορούν διακριτικές ευχέρειες των κρατών μελών. </w:t>
      </w:r>
      <w:r w:rsidRPr="005E0555">
        <w:rPr>
          <w:sz w:val="24"/>
          <w:szCs w:val="24"/>
          <w:lang w:val="el-GR"/>
        </w:rPr>
        <w:t xml:space="preserve">Η παρούσα δημόσια διαβούλευση πραγματοποιείται </w:t>
      </w:r>
      <w:r>
        <w:rPr>
          <w:sz w:val="24"/>
          <w:szCs w:val="24"/>
          <w:lang w:val="el-GR"/>
        </w:rPr>
        <w:t xml:space="preserve">μόνο </w:t>
      </w:r>
      <w:r w:rsidRPr="005E0555">
        <w:rPr>
          <w:sz w:val="24"/>
          <w:szCs w:val="24"/>
          <w:lang w:val="el-GR"/>
        </w:rPr>
        <w:t xml:space="preserve">για τις </w:t>
      </w:r>
      <w:r>
        <w:rPr>
          <w:sz w:val="24"/>
          <w:szCs w:val="24"/>
          <w:lang w:val="el-GR"/>
        </w:rPr>
        <w:t>δ</w:t>
      </w:r>
      <w:r w:rsidRPr="005E0555">
        <w:rPr>
          <w:sz w:val="24"/>
          <w:szCs w:val="24"/>
          <w:lang w:val="el-GR"/>
        </w:rPr>
        <w:t xml:space="preserve">ιακριτικές ευχέρειες της </w:t>
      </w:r>
      <w:r>
        <w:rPr>
          <w:sz w:val="24"/>
          <w:szCs w:val="24"/>
          <w:lang w:val="el-GR"/>
        </w:rPr>
        <w:t>Ο</w:t>
      </w:r>
      <w:r w:rsidRPr="005E0555">
        <w:rPr>
          <w:sz w:val="24"/>
          <w:szCs w:val="24"/>
          <w:lang w:val="el-GR"/>
        </w:rPr>
        <w:t>δηγίας (ΕΕ) 2019/87</w:t>
      </w:r>
      <w:r w:rsidR="00930B89">
        <w:rPr>
          <w:sz w:val="24"/>
          <w:szCs w:val="24"/>
          <w:lang w:val="el-GR"/>
        </w:rPr>
        <w:t>9</w:t>
      </w:r>
      <w:r>
        <w:rPr>
          <w:sz w:val="24"/>
          <w:szCs w:val="24"/>
          <w:lang w:val="el-GR"/>
        </w:rPr>
        <w:t xml:space="preserve"> οι οποίες φαίνονται στον συνημμένο Πίνακα (Συνημμένο 1).</w:t>
      </w:r>
    </w:p>
    <w:p w14:paraId="13894C86" w14:textId="77777777" w:rsidR="00857311" w:rsidRPr="00CA4C3E" w:rsidRDefault="00857311" w:rsidP="00857311">
      <w:pPr>
        <w:spacing w:after="0" w:line="240" w:lineRule="auto"/>
        <w:jc w:val="both"/>
        <w:rPr>
          <w:sz w:val="24"/>
          <w:szCs w:val="24"/>
          <w:lang w:val="el-GR"/>
        </w:rPr>
      </w:pPr>
    </w:p>
    <w:p w14:paraId="15496223" w14:textId="77777777" w:rsidR="001D07D2" w:rsidRPr="005E0555" w:rsidRDefault="001D07D2" w:rsidP="001D07D2">
      <w:pPr>
        <w:spacing w:after="0" w:line="240" w:lineRule="auto"/>
        <w:jc w:val="both"/>
        <w:rPr>
          <w:sz w:val="24"/>
          <w:szCs w:val="24"/>
          <w:highlight w:val="yellow"/>
          <w:lang w:val="el-GR"/>
        </w:rPr>
      </w:pPr>
    </w:p>
    <w:p w14:paraId="3B4687B2" w14:textId="364ED375" w:rsidR="001D07D2" w:rsidRPr="00571F51" w:rsidRDefault="005E0555" w:rsidP="001D07D2">
      <w:pPr>
        <w:spacing w:after="0" w:line="240" w:lineRule="auto"/>
        <w:jc w:val="both"/>
        <w:rPr>
          <w:b/>
          <w:sz w:val="24"/>
          <w:szCs w:val="24"/>
          <w:lang w:val="el-GR"/>
        </w:rPr>
      </w:pPr>
      <w:r w:rsidRPr="0071702A">
        <w:rPr>
          <w:b/>
          <w:sz w:val="24"/>
          <w:szCs w:val="24"/>
          <w:lang w:val="el-GR"/>
        </w:rPr>
        <w:t>Τ</w:t>
      </w:r>
      <w:r w:rsidR="001D07D2" w:rsidRPr="0071702A">
        <w:rPr>
          <w:b/>
          <w:sz w:val="24"/>
          <w:szCs w:val="24"/>
          <w:lang w:val="el-GR"/>
        </w:rPr>
        <w:t xml:space="preserve">ο Υπουργείο Οικονομικών σας καλεί όπως υποβάλετε τα σχόλια ή απόψεις σας, σε </w:t>
      </w:r>
      <w:r w:rsidR="001D07D2" w:rsidRPr="0071702A">
        <w:rPr>
          <w:b/>
          <w:sz w:val="24"/>
          <w:szCs w:val="24"/>
          <w:u w:val="single"/>
        </w:rPr>
        <w:t>Word</w:t>
      </w:r>
      <w:r w:rsidR="001D07D2" w:rsidRPr="0071702A">
        <w:rPr>
          <w:b/>
          <w:sz w:val="24"/>
          <w:szCs w:val="24"/>
          <w:u w:val="single"/>
          <w:lang w:val="el-GR"/>
        </w:rPr>
        <w:t xml:space="preserve"> </w:t>
      </w:r>
      <w:r w:rsidR="001D07D2" w:rsidRPr="0071702A">
        <w:rPr>
          <w:b/>
          <w:sz w:val="24"/>
          <w:szCs w:val="24"/>
          <w:u w:val="single"/>
        </w:rPr>
        <w:t>format</w:t>
      </w:r>
      <w:r w:rsidR="001D07D2" w:rsidRPr="0071702A">
        <w:rPr>
          <w:b/>
          <w:sz w:val="24"/>
          <w:szCs w:val="24"/>
          <w:lang w:val="el-GR"/>
        </w:rPr>
        <w:t xml:space="preserve">, μέχρι </w:t>
      </w:r>
      <w:r w:rsidRPr="0071702A">
        <w:rPr>
          <w:b/>
          <w:sz w:val="24"/>
          <w:szCs w:val="24"/>
          <w:lang w:val="el-GR"/>
        </w:rPr>
        <w:t xml:space="preserve">τις </w:t>
      </w:r>
      <w:r w:rsidR="001655A9" w:rsidRPr="001655A9">
        <w:rPr>
          <w:b/>
          <w:sz w:val="24"/>
          <w:szCs w:val="24"/>
          <w:lang w:val="el-GR"/>
        </w:rPr>
        <w:t>6</w:t>
      </w:r>
      <w:r w:rsidRPr="0071702A">
        <w:rPr>
          <w:b/>
          <w:sz w:val="24"/>
          <w:szCs w:val="24"/>
          <w:lang w:val="el-GR"/>
        </w:rPr>
        <w:t>/</w:t>
      </w:r>
      <w:r w:rsidR="001655A9" w:rsidRPr="001655A9">
        <w:rPr>
          <w:b/>
          <w:sz w:val="24"/>
          <w:szCs w:val="24"/>
          <w:lang w:val="el-GR"/>
        </w:rPr>
        <w:t>3</w:t>
      </w:r>
      <w:r w:rsidRPr="0071702A">
        <w:rPr>
          <w:b/>
          <w:sz w:val="24"/>
          <w:szCs w:val="24"/>
          <w:lang w:val="el-GR"/>
        </w:rPr>
        <w:t>/2020</w:t>
      </w:r>
      <w:r w:rsidR="001D07D2" w:rsidRPr="0071702A">
        <w:rPr>
          <w:b/>
          <w:sz w:val="24"/>
          <w:szCs w:val="24"/>
          <w:lang w:val="el-GR"/>
        </w:rPr>
        <w:t xml:space="preserve"> στην ηλεκτρονική διεύθυνση</w:t>
      </w:r>
      <w:r w:rsidR="0071702A" w:rsidRPr="0071702A">
        <w:rPr>
          <w:b/>
          <w:sz w:val="24"/>
          <w:szCs w:val="24"/>
          <w:lang w:val="el-GR"/>
        </w:rPr>
        <w:t>:</w:t>
      </w:r>
      <w:r w:rsidR="001D07D2" w:rsidRPr="0071702A">
        <w:rPr>
          <w:b/>
          <w:sz w:val="24"/>
          <w:szCs w:val="24"/>
          <w:lang w:val="el-GR"/>
        </w:rPr>
        <w:t xml:space="preserve"> </w:t>
      </w:r>
      <w:hyperlink r:id="rId9" w:history="1">
        <w:r w:rsidR="00571F51" w:rsidRPr="008262F4">
          <w:rPr>
            <w:rStyle w:val="Hyperlink"/>
            <w:b/>
            <w:sz w:val="24"/>
            <w:szCs w:val="24"/>
          </w:rPr>
          <w:t>eevripidou</w:t>
        </w:r>
        <w:r w:rsidR="00571F51" w:rsidRPr="008262F4">
          <w:rPr>
            <w:rStyle w:val="Hyperlink"/>
            <w:b/>
            <w:sz w:val="24"/>
            <w:szCs w:val="24"/>
            <w:lang w:val="el-GR"/>
          </w:rPr>
          <w:t>@</w:t>
        </w:r>
        <w:r w:rsidR="00571F51" w:rsidRPr="008262F4">
          <w:rPr>
            <w:rStyle w:val="Hyperlink"/>
            <w:b/>
            <w:sz w:val="24"/>
            <w:szCs w:val="24"/>
          </w:rPr>
          <w:t>cssda</w:t>
        </w:r>
        <w:r w:rsidR="00571F51" w:rsidRPr="008262F4">
          <w:rPr>
            <w:rStyle w:val="Hyperlink"/>
            <w:b/>
            <w:sz w:val="24"/>
            <w:szCs w:val="24"/>
            <w:lang w:val="el-GR"/>
          </w:rPr>
          <w:t>.</w:t>
        </w:r>
        <w:r w:rsidR="00571F51" w:rsidRPr="008262F4">
          <w:rPr>
            <w:rStyle w:val="Hyperlink"/>
            <w:b/>
            <w:sz w:val="24"/>
            <w:szCs w:val="24"/>
          </w:rPr>
          <w:t>gov</w:t>
        </w:r>
        <w:r w:rsidR="00571F51" w:rsidRPr="008262F4">
          <w:rPr>
            <w:rStyle w:val="Hyperlink"/>
            <w:b/>
            <w:sz w:val="24"/>
            <w:szCs w:val="24"/>
            <w:lang w:val="el-GR"/>
          </w:rPr>
          <w:t>.</w:t>
        </w:r>
        <w:r w:rsidR="00571F51" w:rsidRPr="008262F4">
          <w:rPr>
            <w:rStyle w:val="Hyperlink"/>
            <w:b/>
            <w:sz w:val="24"/>
            <w:szCs w:val="24"/>
          </w:rPr>
          <w:t>cy</w:t>
        </w:r>
      </w:hyperlink>
    </w:p>
    <w:p w14:paraId="1BD08D3C" w14:textId="77777777" w:rsidR="00571F51" w:rsidRPr="009E086B" w:rsidRDefault="00571F51" w:rsidP="001D07D2">
      <w:pPr>
        <w:spacing w:after="0" w:line="240" w:lineRule="auto"/>
        <w:jc w:val="both"/>
        <w:rPr>
          <w:sz w:val="24"/>
          <w:szCs w:val="24"/>
          <w:lang w:val="el-GR"/>
        </w:rPr>
      </w:pPr>
    </w:p>
    <w:p w14:paraId="2AC6FAE9" w14:textId="77777777" w:rsidR="001D07D2" w:rsidRPr="005E0555" w:rsidRDefault="001D07D2" w:rsidP="001D07D2">
      <w:pPr>
        <w:spacing w:after="0" w:line="240" w:lineRule="auto"/>
        <w:jc w:val="both"/>
        <w:rPr>
          <w:sz w:val="24"/>
          <w:szCs w:val="24"/>
          <w:lang w:val="el-GR"/>
        </w:rPr>
      </w:pPr>
    </w:p>
    <w:p w14:paraId="2E947464" w14:textId="77777777" w:rsidR="001D07D2" w:rsidRPr="00004FE4" w:rsidRDefault="001D07D2" w:rsidP="001D07D2">
      <w:pPr>
        <w:spacing w:after="0" w:line="240" w:lineRule="auto"/>
        <w:jc w:val="right"/>
        <w:rPr>
          <w:sz w:val="24"/>
          <w:szCs w:val="24"/>
          <w:lang w:val="el-GR"/>
        </w:rPr>
      </w:pPr>
    </w:p>
    <w:p w14:paraId="1041FF91" w14:textId="77777777" w:rsidR="001D07D2" w:rsidRPr="001D07D2" w:rsidRDefault="001D07D2" w:rsidP="001D07D2">
      <w:pPr>
        <w:spacing w:after="0" w:line="240" w:lineRule="auto"/>
        <w:jc w:val="right"/>
        <w:rPr>
          <w:sz w:val="24"/>
          <w:szCs w:val="24"/>
          <w:lang w:val="el-GR"/>
        </w:rPr>
      </w:pPr>
      <w:r>
        <w:rPr>
          <w:sz w:val="24"/>
          <w:szCs w:val="24"/>
          <w:lang w:val="el-GR"/>
        </w:rPr>
        <w:t xml:space="preserve">Λευκωσία, </w:t>
      </w:r>
      <w:r w:rsidR="009E086B">
        <w:rPr>
          <w:sz w:val="24"/>
          <w:szCs w:val="24"/>
          <w:lang w:val="el-GR"/>
        </w:rPr>
        <w:t>2</w:t>
      </w:r>
      <w:r w:rsidR="00571F51" w:rsidRPr="001655A9">
        <w:rPr>
          <w:sz w:val="24"/>
          <w:szCs w:val="24"/>
          <w:lang w:val="el-GR"/>
        </w:rPr>
        <w:t>5</w:t>
      </w:r>
      <w:r w:rsidR="005E0555">
        <w:rPr>
          <w:sz w:val="24"/>
          <w:szCs w:val="24"/>
          <w:lang w:val="el-GR"/>
        </w:rPr>
        <w:t xml:space="preserve"> Φεβρουαρίου </w:t>
      </w:r>
      <w:r>
        <w:rPr>
          <w:sz w:val="24"/>
          <w:szCs w:val="24"/>
          <w:lang w:val="el-GR"/>
        </w:rPr>
        <w:t>20</w:t>
      </w:r>
      <w:r w:rsidR="00AF3B5C">
        <w:rPr>
          <w:sz w:val="24"/>
          <w:szCs w:val="24"/>
          <w:lang w:val="el-GR"/>
        </w:rPr>
        <w:t>20</w:t>
      </w:r>
    </w:p>
    <w:p w14:paraId="4EF60BFB" w14:textId="77777777" w:rsidR="005E0555" w:rsidRDefault="005E0555" w:rsidP="005E0555">
      <w:pPr>
        <w:spacing w:after="160" w:line="259" w:lineRule="auto"/>
        <w:jc w:val="center"/>
        <w:rPr>
          <w:rFonts w:ascii="Calibri" w:eastAsia="Calibri" w:hAnsi="Calibri" w:cs="Times New Roman"/>
          <w:b/>
          <w:u w:val="single"/>
          <w:lang w:val="el-GR"/>
        </w:rPr>
      </w:pPr>
    </w:p>
    <w:p w14:paraId="50367FC3" w14:textId="77777777" w:rsidR="00CA4C3E" w:rsidRDefault="00CA4C3E" w:rsidP="005E0555">
      <w:pPr>
        <w:spacing w:after="160" w:line="259" w:lineRule="auto"/>
        <w:jc w:val="center"/>
        <w:rPr>
          <w:rFonts w:ascii="Calibri" w:eastAsia="Calibri" w:hAnsi="Calibri" w:cs="Times New Roman"/>
          <w:b/>
          <w:u w:val="single"/>
          <w:lang w:val="el-GR"/>
        </w:rPr>
      </w:pPr>
    </w:p>
    <w:p w14:paraId="55D0450A" w14:textId="77777777" w:rsidR="00CA4C3E" w:rsidRDefault="00CA4C3E" w:rsidP="005E0555">
      <w:pPr>
        <w:spacing w:after="160" w:line="259" w:lineRule="auto"/>
        <w:jc w:val="center"/>
        <w:rPr>
          <w:rFonts w:ascii="Calibri" w:eastAsia="Calibri" w:hAnsi="Calibri" w:cs="Times New Roman"/>
          <w:b/>
          <w:u w:val="single"/>
          <w:lang w:val="el-GR"/>
        </w:rPr>
      </w:pPr>
    </w:p>
    <w:p w14:paraId="31F56B5F" w14:textId="77777777" w:rsidR="00CA4C3E" w:rsidRDefault="00CA4C3E" w:rsidP="005E0555">
      <w:pPr>
        <w:spacing w:after="160" w:line="259" w:lineRule="auto"/>
        <w:jc w:val="center"/>
        <w:rPr>
          <w:rFonts w:ascii="Calibri" w:eastAsia="Calibri" w:hAnsi="Calibri" w:cs="Times New Roman"/>
          <w:b/>
          <w:u w:val="single"/>
          <w:lang w:val="el-GR"/>
        </w:rPr>
      </w:pPr>
    </w:p>
    <w:p w14:paraId="2F24F414" w14:textId="77777777" w:rsidR="00CA4C3E" w:rsidRDefault="00CA4C3E" w:rsidP="005E0555">
      <w:pPr>
        <w:spacing w:after="160" w:line="259" w:lineRule="auto"/>
        <w:jc w:val="center"/>
        <w:rPr>
          <w:rFonts w:ascii="Calibri" w:eastAsia="Calibri" w:hAnsi="Calibri" w:cs="Times New Roman"/>
          <w:b/>
          <w:u w:val="single"/>
          <w:lang w:val="el-GR"/>
        </w:rPr>
      </w:pPr>
    </w:p>
    <w:p w14:paraId="37B47191" w14:textId="77777777" w:rsidR="00CA4C3E" w:rsidRDefault="00CA4C3E" w:rsidP="005E0555">
      <w:pPr>
        <w:spacing w:after="160" w:line="259" w:lineRule="auto"/>
        <w:jc w:val="center"/>
        <w:rPr>
          <w:rFonts w:ascii="Calibri" w:eastAsia="Calibri" w:hAnsi="Calibri" w:cs="Times New Roman"/>
          <w:b/>
          <w:u w:val="single"/>
          <w:lang w:val="el-GR"/>
        </w:rPr>
      </w:pPr>
    </w:p>
    <w:p w14:paraId="20759A66" w14:textId="77777777" w:rsidR="00CA4C3E" w:rsidRDefault="00CA4C3E" w:rsidP="005E0555">
      <w:pPr>
        <w:spacing w:after="160" w:line="259" w:lineRule="auto"/>
        <w:jc w:val="center"/>
        <w:rPr>
          <w:rFonts w:ascii="Calibri" w:eastAsia="Calibri" w:hAnsi="Calibri" w:cs="Times New Roman"/>
          <w:b/>
          <w:u w:val="single"/>
          <w:lang w:val="el-GR"/>
        </w:rPr>
      </w:pPr>
    </w:p>
    <w:p w14:paraId="5AB102E9" w14:textId="77777777" w:rsidR="00CA4C3E" w:rsidRDefault="00CA4C3E" w:rsidP="005E0555">
      <w:pPr>
        <w:spacing w:after="160" w:line="259" w:lineRule="auto"/>
        <w:jc w:val="center"/>
        <w:rPr>
          <w:rFonts w:ascii="Calibri" w:eastAsia="Calibri" w:hAnsi="Calibri" w:cs="Times New Roman"/>
          <w:b/>
          <w:u w:val="single"/>
          <w:lang w:val="el-GR"/>
        </w:rPr>
      </w:pPr>
    </w:p>
    <w:p w14:paraId="53C985E7" w14:textId="77777777" w:rsidR="00CA4C3E" w:rsidRDefault="00CA4C3E" w:rsidP="005E0555">
      <w:pPr>
        <w:spacing w:after="160" w:line="259" w:lineRule="auto"/>
        <w:jc w:val="center"/>
        <w:rPr>
          <w:rFonts w:ascii="Calibri" w:eastAsia="Calibri" w:hAnsi="Calibri" w:cs="Times New Roman"/>
          <w:b/>
          <w:u w:val="single"/>
          <w:lang w:val="el-GR"/>
        </w:rPr>
      </w:pPr>
    </w:p>
    <w:p w14:paraId="7522BFEA" w14:textId="77777777" w:rsidR="00CA4C3E" w:rsidRDefault="00CA4C3E" w:rsidP="005E0555">
      <w:pPr>
        <w:spacing w:after="160" w:line="259" w:lineRule="auto"/>
        <w:jc w:val="center"/>
        <w:rPr>
          <w:rFonts w:ascii="Calibri" w:eastAsia="Calibri" w:hAnsi="Calibri" w:cs="Times New Roman"/>
          <w:b/>
          <w:u w:val="single"/>
          <w:lang w:val="el-GR"/>
        </w:rPr>
      </w:pPr>
    </w:p>
    <w:p w14:paraId="51295B68" w14:textId="77777777" w:rsidR="00CA4C3E" w:rsidRDefault="00CA4C3E" w:rsidP="005E0555">
      <w:pPr>
        <w:spacing w:after="160" w:line="259" w:lineRule="auto"/>
        <w:jc w:val="center"/>
        <w:rPr>
          <w:rFonts w:ascii="Calibri" w:eastAsia="Calibri" w:hAnsi="Calibri" w:cs="Times New Roman"/>
          <w:b/>
          <w:u w:val="single"/>
          <w:lang w:val="el-GR"/>
        </w:rPr>
      </w:pPr>
    </w:p>
    <w:p w14:paraId="3AA49819" w14:textId="77777777" w:rsidR="00CA4C3E" w:rsidRDefault="00CA4C3E" w:rsidP="005E0555">
      <w:pPr>
        <w:spacing w:after="160" w:line="259" w:lineRule="auto"/>
        <w:jc w:val="center"/>
        <w:rPr>
          <w:rFonts w:ascii="Calibri" w:eastAsia="Calibri" w:hAnsi="Calibri" w:cs="Times New Roman"/>
          <w:b/>
          <w:u w:val="single"/>
          <w:lang w:val="el-GR"/>
        </w:rPr>
      </w:pPr>
    </w:p>
    <w:p w14:paraId="576BBF76" w14:textId="77777777" w:rsidR="00CA4C3E" w:rsidRDefault="00CA4C3E" w:rsidP="005E0555">
      <w:pPr>
        <w:spacing w:after="160" w:line="259" w:lineRule="auto"/>
        <w:jc w:val="center"/>
        <w:rPr>
          <w:rFonts w:ascii="Calibri" w:eastAsia="Calibri" w:hAnsi="Calibri" w:cs="Times New Roman"/>
          <w:b/>
          <w:u w:val="single"/>
          <w:lang w:val="el-GR"/>
        </w:rPr>
      </w:pPr>
    </w:p>
    <w:p w14:paraId="5B9CFD8A" w14:textId="77777777" w:rsidR="00857311" w:rsidRDefault="00857311" w:rsidP="005E0555">
      <w:pPr>
        <w:spacing w:after="160" w:line="259" w:lineRule="auto"/>
        <w:jc w:val="center"/>
        <w:rPr>
          <w:rFonts w:ascii="Calibri" w:eastAsia="Calibri" w:hAnsi="Calibri" w:cs="Times New Roman"/>
          <w:b/>
          <w:u w:val="single"/>
          <w:lang w:val="el-GR"/>
        </w:rPr>
      </w:pPr>
    </w:p>
    <w:p w14:paraId="30B771A6" w14:textId="77777777" w:rsidR="00181DAD" w:rsidRDefault="00181DAD" w:rsidP="00181DAD">
      <w:pPr>
        <w:spacing w:after="160" w:line="259" w:lineRule="auto"/>
        <w:rPr>
          <w:rFonts w:ascii="Calibri" w:eastAsia="Calibri" w:hAnsi="Calibri" w:cs="Times New Roman"/>
          <w:b/>
          <w:u w:val="single"/>
          <w:lang w:val="el-GR"/>
        </w:rPr>
      </w:pPr>
    </w:p>
    <w:p w14:paraId="088FB0F8" w14:textId="77777777" w:rsidR="00CA4C3E" w:rsidRPr="00F52E23" w:rsidRDefault="00857311" w:rsidP="00F52E23">
      <w:pPr>
        <w:spacing w:after="160" w:line="259" w:lineRule="auto"/>
        <w:jc w:val="right"/>
        <w:rPr>
          <w:rFonts w:ascii="Arial" w:eastAsia="Calibri" w:hAnsi="Arial" w:cs="Arial"/>
          <w:b/>
          <w:u w:val="single"/>
          <w:lang w:val="el-GR"/>
        </w:rPr>
      </w:pPr>
      <w:r w:rsidRPr="00F52E23">
        <w:rPr>
          <w:rFonts w:ascii="Arial" w:eastAsia="Calibri" w:hAnsi="Arial" w:cs="Arial"/>
          <w:b/>
          <w:u w:val="single"/>
          <w:lang w:val="el-GR"/>
        </w:rPr>
        <w:t>Συνημμένο 1</w:t>
      </w:r>
    </w:p>
    <w:p w14:paraId="00EECA4B" w14:textId="77777777" w:rsidR="00CA4C3E" w:rsidRPr="00F52E23" w:rsidRDefault="00CA4C3E" w:rsidP="005E0555">
      <w:pPr>
        <w:spacing w:after="160" w:line="259" w:lineRule="auto"/>
        <w:jc w:val="center"/>
        <w:rPr>
          <w:rFonts w:ascii="Arial" w:eastAsia="Calibri" w:hAnsi="Arial" w:cs="Arial"/>
          <w:b/>
          <w:u w:val="single"/>
          <w:lang w:val="el-GR"/>
        </w:rPr>
      </w:pPr>
    </w:p>
    <w:p w14:paraId="63D34B4D" w14:textId="77777777" w:rsidR="005E0555" w:rsidRPr="00F52E23" w:rsidRDefault="005E0555" w:rsidP="005E0555">
      <w:pPr>
        <w:spacing w:after="160" w:line="259" w:lineRule="auto"/>
        <w:jc w:val="center"/>
        <w:rPr>
          <w:rFonts w:ascii="Arial" w:eastAsia="Calibri" w:hAnsi="Arial" w:cs="Arial"/>
          <w:b/>
          <w:u w:val="single"/>
          <w:lang w:val="el-GR"/>
        </w:rPr>
      </w:pPr>
      <w:r w:rsidRPr="00F52E23">
        <w:rPr>
          <w:rFonts w:ascii="Arial" w:eastAsia="Calibri" w:hAnsi="Arial" w:cs="Arial"/>
          <w:b/>
          <w:u w:val="single"/>
          <w:lang w:val="el-GR"/>
        </w:rPr>
        <w:t xml:space="preserve">Οδηγία 2019/879 - Διακριτικές ευχέρειες </w:t>
      </w:r>
    </w:p>
    <w:p w14:paraId="3BFCC1AF" w14:textId="35E79F0B" w:rsidR="005E0555" w:rsidRDefault="005E0555" w:rsidP="005E0555">
      <w:pPr>
        <w:spacing w:after="160" w:line="259" w:lineRule="auto"/>
        <w:jc w:val="center"/>
        <w:rPr>
          <w:rFonts w:ascii="Arial" w:eastAsia="Calibri" w:hAnsi="Arial" w:cs="Arial"/>
          <w:b/>
          <w:u w:val="single"/>
          <w:lang w:val="el-GR"/>
        </w:rPr>
      </w:pPr>
    </w:p>
    <w:p w14:paraId="11CD3799" w14:textId="77777777" w:rsidR="00F52E23" w:rsidRPr="00F52E23" w:rsidRDefault="00F52E23" w:rsidP="005E0555">
      <w:pPr>
        <w:spacing w:after="160" w:line="259" w:lineRule="auto"/>
        <w:jc w:val="center"/>
        <w:rPr>
          <w:rFonts w:ascii="Arial" w:eastAsia="Calibri" w:hAnsi="Arial" w:cs="Arial"/>
          <w:b/>
          <w:u w:val="single"/>
          <w:lang w:val="el-GR"/>
        </w:rPr>
      </w:pPr>
    </w:p>
    <w:tbl>
      <w:tblPr>
        <w:tblStyle w:val="TableGrid"/>
        <w:tblW w:w="10461" w:type="dxa"/>
        <w:tblInd w:w="-1139" w:type="dxa"/>
        <w:tblLook w:val="04A0" w:firstRow="1" w:lastRow="0" w:firstColumn="1" w:lastColumn="0" w:noHBand="0" w:noVBand="1"/>
      </w:tblPr>
      <w:tblGrid>
        <w:gridCol w:w="367"/>
        <w:gridCol w:w="2043"/>
        <w:gridCol w:w="8051"/>
      </w:tblGrid>
      <w:tr w:rsidR="006B098E" w:rsidRPr="00F52E23" w14:paraId="61E6B459" w14:textId="77777777" w:rsidTr="006B098E">
        <w:tc>
          <w:tcPr>
            <w:tcW w:w="367" w:type="dxa"/>
          </w:tcPr>
          <w:p w14:paraId="6A9F2D6A" w14:textId="77777777" w:rsidR="006B098E" w:rsidRPr="00F52E23" w:rsidRDefault="006B098E" w:rsidP="005E0555">
            <w:pPr>
              <w:rPr>
                <w:rFonts w:ascii="Arial" w:hAnsi="Arial" w:cs="Arial"/>
                <w:b/>
              </w:rPr>
            </w:pPr>
          </w:p>
        </w:tc>
        <w:tc>
          <w:tcPr>
            <w:tcW w:w="2043" w:type="dxa"/>
          </w:tcPr>
          <w:p w14:paraId="779E295A" w14:textId="77777777" w:rsidR="006B098E" w:rsidRPr="00F52E23" w:rsidRDefault="006B098E" w:rsidP="005E0555">
            <w:pPr>
              <w:jc w:val="center"/>
              <w:rPr>
                <w:rFonts w:ascii="Arial" w:hAnsi="Arial" w:cs="Arial"/>
                <w:b/>
              </w:rPr>
            </w:pPr>
            <w:r w:rsidRPr="00F52E23">
              <w:rPr>
                <w:rFonts w:ascii="Arial" w:hAnsi="Arial" w:cs="Arial"/>
                <w:b/>
              </w:rPr>
              <w:t>Άρθρα Οδηγίας  2019/879</w:t>
            </w:r>
          </w:p>
        </w:tc>
        <w:tc>
          <w:tcPr>
            <w:tcW w:w="8051" w:type="dxa"/>
          </w:tcPr>
          <w:p w14:paraId="09A5467A" w14:textId="77777777" w:rsidR="006B098E" w:rsidRPr="00F52E23" w:rsidRDefault="006B098E" w:rsidP="005E0555">
            <w:pPr>
              <w:jc w:val="center"/>
              <w:rPr>
                <w:rFonts w:ascii="Arial" w:hAnsi="Arial" w:cs="Arial"/>
                <w:b/>
                <w:lang w:val="en-GB"/>
              </w:rPr>
            </w:pPr>
            <w:proofErr w:type="spellStart"/>
            <w:r w:rsidRPr="00F52E23">
              <w:rPr>
                <w:rFonts w:ascii="Arial" w:hAnsi="Arial" w:cs="Arial"/>
                <w:b/>
              </w:rPr>
              <w:t>Διακ</w:t>
            </w:r>
            <w:r w:rsidRPr="00F52E23">
              <w:rPr>
                <w:rFonts w:ascii="Arial" w:hAnsi="Arial" w:cs="Arial"/>
                <w:b/>
                <w:lang w:val="en-GB"/>
              </w:rPr>
              <w:t>ριτικές</w:t>
            </w:r>
            <w:proofErr w:type="spellEnd"/>
            <w:r w:rsidRPr="00F52E23">
              <w:rPr>
                <w:rFonts w:ascii="Arial" w:hAnsi="Arial" w:cs="Arial"/>
                <w:b/>
                <w:lang w:val="en-GB"/>
              </w:rPr>
              <w:t xml:space="preserve"> </w:t>
            </w:r>
            <w:proofErr w:type="spellStart"/>
            <w:r w:rsidRPr="00F52E23">
              <w:rPr>
                <w:rFonts w:ascii="Arial" w:hAnsi="Arial" w:cs="Arial"/>
                <w:b/>
                <w:lang w:val="en-GB"/>
              </w:rPr>
              <w:t>ευχέρειες</w:t>
            </w:r>
            <w:proofErr w:type="spellEnd"/>
          </w:p>
        </w:tc>
      </w:tr>
      <w:tr w:rsidR="006B098E" w:rsidRPr="00C0118F" w14:paraId="1F610956" w14:textId="77777777" w:rsidTr="006B098E">
        <w:tc>
          <w:tcPr>
            <w:tcW w:w="367" w:type="dxa"/>
          </w:tcPr>
          <w:p w14:paraId="6AA194C5" w14:textId="77777777" w:rsidR="006B098E" w:rsidRPr="00F52E23" w:rsidRDefault="006B098E" w:rsidP="005E0555">
            <w:pPr>
              <w:rPr>
                <w:rFonts w:ascii="Arial" w:hAnsi="Arial" w:cs="Arial"/>
                <w:lang w:val="en-GB"/>
              </w:rPr>
            </w:pPr>
            <w:r w:rsidRPr="00F52E23">
              <w:rPr>
                <w:rFonts w:ascii="Arial" w:hAnsi="Arial" w:cs="Arial"/>
                <w:lang w:val="en-GB"/>
              </w:rPr>
              <w:t>1</w:t>
            </w:r>
          </w:p>
          <w:p w14:paraId="53D52C9F" w14:textId="77777777" w:rsidR="006B098E" w:rsidRPr="00F52E23" w:rsidRDefault="006B098E" w:rsidP="005E0555">
            <w:pPr>
              <w:rPr>
                <w:rFonts w:ascii="Arial" w:hAnsi="Arial" w:cs="Arial"/>
                <w:lang w:val="en-GB"/>
              </w:rPr>
            </w:pPr>
            <w:r w:rsidRPr="00F52E23">
              <w:rPr>
                <w:rFonts w:ascii="Arial" w:hAnsi="Arial" w:cs="Arial"/>
                <w:lang w:val="en-GB"/>
              </w:rPr>
              <w:t>&amp;</w:t>
            </w:r>
          </w:p>
          <w:p w14:paraId="341DAE8C" w14:textId="77777777" w:rsidR="006B098E" w:rsidRPr="00F52E23" w:rsidRDefault="006B098E" w:rsidP="005E0555">
            <w:pPr>
              <w:rPr>
                <w:rFonts w:ascii="Arial" w:hAnsi="Arial" w:cs="Arial"/>
                <w:lang w:val="en-GB"/>
              </w:rPr>
            </w:pPr>
            <w:r w:rsidRPr="00F52E23">
              <w:rPr>
                <w:rFonts w:ascii="Arial" w:hAnsi="Arial" w:cs="Arial"/>
                <w:lang w:val="en-GB"/>
              </w:rPr>
              <w:t>6</w:t>
            </w:r>
          </w:p>
        </w:tc>
        <w:tc>
          <w:tcPr>
            <w:tcW w:w="2043" w:type="dxa"/>
          </w:tcPr>
          <w:p w14:paraId="71BE0214" w14:textId="77777777" w:rsidR="006B098E" w:rsidRPr="00F52E23" w:rsidRDefault="006B098E" w:rsidP="005E0555">
            <w:pPr>
              <w:rPr>
                <w:rFonts w:ascii="Arial" w:hAnsi="Arial" w:cs="Arial"/>
              </w:rPr>
            </w:pPr>
            <w:proofErr w:type="spellStart"/>
            <w:r w:rsidRPr="00F52E23">
              <w:rPr>
                <w:rFonts w:ascii="Arial" w:hAnsi="Arial" w:cs="Arial"/>
                <w:lang w:val="en-GB"/>
              </w:rPr>
              <w:t>Άρθρο</w:t>
            </w:r>
            <w:proofErr w:type="spellEnd"/>
            <w:r w:rsidRPr="00F52E23">
              <w:rPr>
                <w:rFonts w:ascii="Arial" w:hAnsi="Arial" w:cs="Arial"/>
                <w:lang w:val="en-GB"/>
              </w:rPr>
              <w:t xml:space="preserve"> 33</w:t>
            </w:r>
            <w:r w:rsidRPr="00F52E23">
              <w:rPr>
                <w:rFonts w:ascii="Arial" w:hAnsi="Arial" w:cs="Arial"/>
              </w:rPr>
              <w:t>α</w:t>
            </w:r>
            <w:r w:rsidRPr="00F52E23">
              <w:rPr>
                <w:rFonts w:ascii="Arial" w:hAnsi="Arial" w:cs="Arial"/>
                <w:lang w:val="en-GB"/>
              </w:rPr>
              <w:t xml:space="preserve">.3 </w:t>
            </w:r>
            <w:r w:rsidRPr="00F52E23">
              <w:rPr>
                <w:rFonts w:ascii="Arial" w:hAnsi="Arial" w:cs="Arial"/>
              </w:rPr>
              <w:t>και άρθρο 69.5</w:t>
            </w:r>
          </w:p>
        </w:tc>
        <w:tc>
          <w:tcPr>
            <w:tcW w:w="8051" w:type="dxa"/>
          </w:tcPr>
          <w:p w14:paraId="021B3E9B" w14:textId="0322B6A0" w:rsidR="006B098E" w:rsidRPr="00F52E23" w:rsidRDefault="006B098E" w:rsidP="005E0555">
            <w:pPr>
              <w:jc w:val="both"/>
              <w:rPr>
                <w:rFonts w:ascii="Arial" w:hAnsi="Arial" w:cs="Arial"/>
                <w:u w:val="single"/>
              </w:rPr>
            </w:pPr>
            <w:r w:rsidRPr="00F52E23">
              <w:rPr>
                <w:rFonts w:ascii="Arial" w:hAnsi="Arial" w:cs="Arial"/>
                <w:u w:val="single"/>
              </w:rPr>
              <w:t>Εξουσία αναστολής ορισμένων υποχρεώσεων- Πρόσβαση στις καταθέσεις</w:t>
            </w:r>
          </w:p>
          <w:p w14:paraId="05AA9DA8" w14:textId="77777777" w:rsidR="00E34685" w:rsidRDefault="00E34685" w:rsidP="005E0555">
            <w:pPr>
              <w:jc w:val="both"/>
              <w:rPr>
                <w:rFonts w:ascii="Arial" w:hAnsi="Arial" w:cs="Arial"/>
              </w:rPr>
            </w:pPr>
          </w:p>
          <w:p w14:paraId="54E2CB2B" w14:textId="20520586" w:rsidR="006B098E" w:rsidRPr="00F52E23" w:rsidRDefault="006B098E" w:rsidP="005E0555">
            <w:pPr>
              <w:jc w:val="both"/>
              <w:rPr>
                <w:rFonts w:ascii="Arial" w:hAnsi="Arial" w:cs="Arial"/>
              </w:rPr>
            </w:pPr>
            <w:r w:rsidRPr="00F52E23">
              <w:rPr>
                <w:rFonts w:ascii="Arial" w:hAnsi="Arial" w:cs="Arial"/>
              </w:rPr>
              <w:t>Τα κράτη μέλη μπορούν να προβλέπουν ότι, όταν ασκείται εξουσία αναστολής των υποχρεώσεων πληρωμής ή παράδοσης σε σχέση με επιλέξιμες καταθέσεις, οι αρχές εξυγίανσης διασφαλίζουν ότι οι καταθέτες έχουν πρόσβαση σε κατάλληλο ημερήσιο ποσό από τις καταθέσεις αυτές.</w:t>
            </w:r>
          </w:p>
          <w:p w14:paraId="62DC8910" w14:textId="7B66B8E0" w:rsidR="006B098E" w:rsidRPr="00F52E23" w:rsidRDefault="006B098E" w:rsidP="005E0555">
            <w:pPr>
              <w:jc w:val="both"/>
              <w:rPr>
                <w:rFonts w:ascii="Arial" w:hAnsi="Arial" w:cs="Arial"/>
              </w:rPr>
            </w:pPr>
          </w:p>
        </w:tc>
      </w:tr>
      <w:tr w:rsidR="006B098E" w:rsidRPr="00C0118F" w14:paraId="3453BE4C" w14:textId="77777777" w:rsidTr="006B098E">
        <w:tc>
          <w:tcPr>
            <w:tcW w:w="367" w:type="dxa"/>
          </w:tcPr>
          <w:p w14:paraId="68AFDFE9" w14:textId="77777777" w:rsidR="006B098E" w:rsidRPr="00F52E23" w:rsidRDefault="006B098E" w:rsidP="005E0555">
            <w:pPr>
              <w:rPr>
                <w:rFonts w:ascii="Arial" w:hAnsi="Arial" w:cs="Arial"/>
                <w:lang w:val="en-GB"/>
              </w:rPr>
            </w:pPr>
            <w:r w:rsidRPr="00F52E23">
              <w:rPr>
                <w:rFonts w:ascii="Arial" w:hAnsi="Arial" w:cs="Arial"/>
                <w:lang w:val="en-GB"/>
              </w:rPr>
              <w:t>2</w:t>
            </w:r>
          </w:p>
        </w:tc>
        <w:tc>
          <w:tcPr>
            <w:tcW w:w="2043" w:type="dxa"/>
          </w:tcPr>
          <w:p w14:paraId="3E2DEC46" w14:textId="77777777" w:rsidR="006B098E" w:rsidRPr="00F52E23" w:rsidRDefault="006B098E" w:rsidP="005E0555">
            <w:pPr>
              <w:rPr>
                <w:rFonts w:ascii="Arial" w:hAnsi="Arial" w:cs="Arial"/>
              </w:rPr>
            </w:pPr>
            <w:r w:rsidRPr="00F52E23">
              <w:rPr>
                <w:rFonts w:ascii="Arial" w:hAnsi="Arial" w:cs="Arial"/>
              </w:rPr>
              <w:t>Άρθρο 44α.1.(γ)</w:t>
            </w:r>
          </w:p>
        </w:tc>
        <w:tc>
          <w:tcPr>
            <w:tcW w:w="8051" w:type="dxa"/>
          </w:tcPr>
          <w:p w14:paraId="49812B9C" w14:textId="31715783" w:rsidR="006B098E" w:rsidRPr="00F52E23" w:rsidRDefault="006B098E" w:rsidP="005E0555">
            <w:pPr>
              <w:jc w:val="both"/>
              <w:rPr>
                <w:rFonts w:ascii="Arial" w:hAnsi="Arial" w:cs="Arial"/>
                <w:u w:val="single"/>
              </w:rPr>
            </w:pPr>
            <w:r w:rsidRPr="00F52E23">
              <w:rPr>
                <w:rFonts w:ascii="Arial" w:hAnsi="Arial" w:cs="Arial"/>
                <w:u w:val="single"/>
              </w:rPr>
              <w:t>Πώληση επιλέξιμων υποχρεώσεων μειωμένης εξασφάλισης σε ιδιώτες πελάτες</w:t>
            </w:r>
          </w:p>
          <w:p w14:paraId="213226B9" w14:textId="77777777" w:rsidR="00E34685" w:rsidRPr="00C0118F" w:rsidRDefault="00E34685" w:rsidP="005E0555">
            <w:pPr>
              <w:jc w:val="both"/>
              <w:rPr>
                <w:rFonts w:ascii="Arial" w:hAnsi="Arial" w:cs="Arial"/>
              </w:rPr>
            </w:pPr>
          </w:p>
          <w:p w14:paraId="2ECF5C78" w14:textId="7D6EDD71" w:rsidR="006B098E" w:rsidRPr="00F52E23" w:rsidRDefault="006B098E" w:rsidP="005E0555">
            <w:pPr>
              <w:jc w:val="both"/>
              <w:rPr>
                <w:rFonts w:ascii="Arial" w:hAnsi="Arial" w:cs="Arial"/>
              </w:rPr>
            </w:pPr>
            <w:r w:rsidRPr="00F52E23">
              <w:rPr>
                <w:rFonts w:ascii="Arial" w:hAnsi="Arial" w:cs="Arial"/>
                <w:lang w:val="en-US"/>
              </w:rPr>
              <w:t>To</w:t>
            </w:r>
            <w:r w:rsidRPr="00F52E23">
              <w:rPr>
                <w:rFonts w:ascii="Arial" w:hAnsi="Arial" w:cs="Arial"/>
              </w:rPr>
              <w:t xml:space="preserve"> άρθρο 44</w:t>
            </w:r>
            <w:proofErr w:type="gramStart"/>
            <w:r w:rsidRPr="00F52E23">
              <w:rPr>
                <w:rFonts w:ascii="Arial" w:hAnsi="Arial" w:cs="Arial"/>
              </w:rPr>
              <w:t>α(</w:t>
            </w:r>
            <w:proofErr w:type="gramEnd"/>
            <w:r w:rsidRPr="00F52E23">
              <w:rPr>
                <w:rFonts w:ascii="Arial" w:hAnsi="Arial" w:cs="Arial"/>
              </w:rPr>
              <w:t>1) ορίζει ότι τα κράτη μέλη  μπορούν να προβλέπουν ότι οι όροι που καθορίζονται στα στοιχεία α) έως γ) του εν λόγω εδαφίου εφαρμόζονται και σε πωλητές άλλων μέσων που χαρακτηρίζονται ως ίδια κεφάλαια ή υποχρεώσεις υποκείμενες σε αναδιάρθρωση παθητικού.</w:t>
            </w:r>
          </w:p>
          <w:p w14:paraId="00A4FF4D" w14:textId="77777777" w:rsidR="006B098E" w:rsidRPr="00F52E23" w:rsidRDefault="006B098E" w:rsidP="005E0555">
            <w:pPr>
              <w:jc w:val="both"/>
              <w:rPr>
                <w:rFonts w:ascii="Arial" w:hAnsi="Arial" w:cs="Arial"/>
              </w:rPr>
            </w:pPr>
            <w:r w:rsidRPr="00F52E23">
              <w:rPr>
                <w:rFonts w:ascii="Arial" w:hAnsi="Arial" w:cs="Arial"/>
              </w:rPr>
              <w:t xml:space="preserve">Το άρθρο 44α προνοεί ότι ο πωλητής επιλέξιμων υποχρεώσεων μπορεί να πωλεί  επιλέξιμες υποχρεώσεις μειωμένης εξασφάλισης σε ιδιώτες επενδυτές εφόσον πληρούνται ορισμένες προϋποθέσεις, συμπεριλαμβανομένου ελέγχου καταλληλότητας.  </w:t>
            </w:r>
          </w:p>
          <w:p w14:paraId="369DD18D" w14:textId="46AC67D4" w:rsidR="006B098E" w:rsidRPr="00F52E23" w:rsidRDefault="006B098E" w:rsidP="005E0555">
            <w:pPr>
              <w:jc w:val="both"/>
              <w:rPr>
                <w:rFonts w:ascii="Arial" w:hAnsi="Arial" w:cs="Arial"/>
              </w:rPr>
            </w:pPr>
          </w:p>
        </w:tc>
      </w:tr>
      <w:tr w:rsidR="006B098E" w:rsidRPr="00C0118F" w14:paraId="771CB268" w14:textId="77777777" w:rsidTr="006B098E">
        <w:tc>
          <w:tcPr>
            <w:tcW w:w="367" w:type="dxa"/>
          </w:tcPr>
          <w:p w14:paraId="0BB82FD2" w14:textId="77777777" w:rsidR="006B098E" w:rsidRPr="00F52E23" w:rsidRDefault="006B098E" w:rsidP="005E0555">
            <w:pPr>
              <w:rPr>
                <w:rFonts w:ascii="Arial" w:hAnsi="Arial" w:cs="Arial"/>
                <w:lang w:val="en-GB"/>
              </w:rPr>
            </w:pPr>
            <w:r w:rsidRPr="00F52E23">
              <w:rPr>
                <w:rFonts w:ascii="Arial" w:hAnsi="Arial" w:cs="Arial"/>
                <w:lang w:val="en-GB"/>
              </w:rPr>
              <w:t>3</w:t>
            </w:r>
          </w:p>
        </w:tc>
        <w:tc>
          <w:tcPr>
            <w:tcW w:w="2043" w:type="dxa"/>
          </w:tcPr>
          <w:p w14:paraId="340F4655" w14:textId="77777777" w:rsidR="006B098E" w:rsidRPr="00F52E23" w:rsidRDefault="006B098E" w:rsidP="005E0555">
            <w:pPr>
              <w:rPr>
                <w:rFonts w:ascii="Arial" w:hAnsi="Arial" w:cs="Arial"/>
                <w:lang w:val="en-GB"/>
              </w:rPr>
            </w:pPr>
            <w:r w:rsidRPr="00F52E23">
              <w:rPr>
                <w:rFonts w:ascii="Arial" w:hAnsi="Arial" w:cs="Arial"/>
              </w:rPr>
              <w:t>Άρθρο</w:t>
            </w:r>
            <w:r w:rsidRPr="00F52E23">
              <w:rPr>
                <w:rFonts w:ascii="Arial" w:hAnsi="Arial" w:cs="Arial"/>
                <w:lang w:val="en-GB"/>
              </w:rPr>
              <w:t xml:space="preserve"> 44</w:t>
            </w:r>
            <w:r w:rsidRPr="00F52E23">
              <w:rPr>
                <w:rFonts w:ascii="Arial" w:hAnsi="Arial" w:cs="Arial"/>
              </w:rPr>
              <w:t>α</w:t>
            </w:r>
            <w:r w:rsidRPr="00F52E23">
              <w:rPr>
                <w:rFonts w:ascii="Arial" w:hAnsi="Arial" w:cs="Arial"/>
                <w:lang w:val="en-GB"/>
              </w:rPr>
              <w:t>.5</w:t>
            </w:r>
          </w:p>
        </w:tc>
        <w:tc>
          <w:tcPr>
            <w:tcW w:w="8051" w:type="dxa"/>
          </w:tcPr>
          <w:p w14:paraId="7AFC60FB" w14:textId="73E918E6" w:rsidR="006B098E" w:rsidRPr="00F52E23" w:rsidRDefault="006B098E" w:rsidP="005E0555">
            <w:pPr>
              <w:jc w:val="both"/>
              <w:rPr>
                <w:rFonts w:ascii="Arial" w:hAnsi="Arial" w:cs="Arial"/>
              </w:rPr>
            </w:pPr>
            <w:r w:rsidRPr="00F52E23">
              <w:rPr>
                <w:rFonts w:ascii="Arial" w:hAnsi="Arial" w:cs="Arial"/>
              </w:rPr>
              <w:t>Με την επιφύλαξη του άρθρου</w:t>
            </w:r>
            <w:r w:rsidRPr="00F52E23">
              <w:rPr>
                <w:rFonts w:ascii="Arial" w:hAnsi="Arial" w:cs="Arial"/>
                <w:lang w:val="en-US"/>
              </w:rPr>
              <w:t> </w:t>
            </w:r>
            <w:r w:rsidRPr="00F52E23">
              <w:rPr>
                <w:rFonts w:ascii="Arial" w:hAnsi="Arial" w:cs="Arial"/>
              </w:rPr>
              <w:t>25 της οδηγίας 2014/65/ΕΕ και κατά παρέκκλιση από τις απαιτήσεις που ορίζονται στις παραγράφους 1 έως 4 του παρόντος άρθρου, τα κράτη μέλη μπορούν να καθορίζουν ελάχιστο ονομαστικό ποσό τουλάχιστον 50</w:t>
            </w:r>
            <w:r w:rsidRPr="00F52E23">
              <w:rPr>
                <w:rFonts w:ascii="Arial" w:hAnsi="Arial" w:cs="Arial"/>
                <w:lang w:val="en-US"/>
              </w:rPr>
              <w:t> </w:t>
            </w:r>
            <w:r w:rsidRPr="00F52E23">
              <w:rPr>
                <w:rFonts w:ascii="Arial" w:hAnsi="Arial" w:cs="Arial"/>
              </w:rPr>
              <w:t>000</w:t>
            </w:r>
            <w:r w:rsidRPr="00F52E23">
              <w:rPr>
                <w:rFonts w:ascii="Arial" w:hAnsi="Arial" w:cs="Arial"/>
                <w:lang w:val="en-US"/>
              </w:rPr>
              <w:t> EUR</w:t>
            </w:r>
            <w:r w:rsidRPr="00F52E23">
              <w:rPr>
                <w:rFonts w:ascii="Arial" w:hAnsi="Arial" w:cs="Arial"/>
              </w:rPr>
              <w:t xml:space="preserve"> για τις υποχρεώσεις που αναφέρονται στην παράγραφο 1, λαμβάνοντας υπόψη τις συνθήκες της αγοράς και τις πρακτικές του οικείου κράτους μέλους, καθώς και τα υφιστάμενα μέτρα προστασίας των καταναλωτών εντός της δικαιοδοσίας του εν λόγω κράτους μέλους.</w:t>
            </w:r>
          </w:p>
          <w:p w14:paraId="3F216602" w14:textId="77777777" w:rsidR="006B098E" w:rsidRPr="00F52E23" w:rsidRDefault="006B098E" w:rsidP="005E0555">
            <w:pPr>
              <w:jc w:val="both"/>
              <w:rPr>
                <w:rFonts w:ascii="Arial" w:hAnsi="Arial" w:cs="Arial"/>
              </w:rPr>
            </w:pPr>
          </w:p>
        </w:tc>
      </w:tr>
      <w:tr w:rsidR="006B098E" w:rsidRPr="00C0118F" w14:paraId="4715FC14" w14:textId="77777777" w:rsidTr="006B098E">
        <w:tc>
          <w:tcPr>
            <w:tcW w:w="367" w:type="dxa"/>
          </w:tcPr>
          <w:p w14:paraId="22F54980" w14:textId="77777777" w:rsidR="006B098E" w:rsidRPr="00F52E23" w:rsidRDefault="006B098E" w:rsidP="005E0555">
            <w:pPr>
              <w:rPr>
                <w:rFonts w:ascii="Arial" w:hAnsi="Arial" w:cs="Arial"/>
                <w:lang w:val="en-GB"/>
              </w:rPr>
            </w:pPr>
            <w:r w:rsidRPr="00F52E23">
              <w:rPr>
                <w:rFonts w:ascii="Arial" w:hAnsi="Arial" w:cs="Arial"/>
                <w:lang w:val="en-GB"/>
              </w:rPr>
              <w:t>4</w:t>
            </w:r>
          </w:p>
        </w:tc>
        <w:tc>
          <w:tcPr>
            <w:tcW w:w="2043" w:type="dxa"/>
          </w:tcPr>
          <w:p w14:paraId="371187F2" w14:textId="77777777" w:rsidR="006B098E" w:rsidRPr="00F52E23" w:rsidRDefault="006B098E" w:rsidP="005E0555">
            <w:pPr>
              <w:rPr>
                <w:rFonts w:ascii="Arial" w:hAnsi="Arial" w:cs="Arial"/>
                <w:lang w:val="en-GB"/>
              </w:rPr>
            </w:pPr>
            <w:r w:rsidRPr="00F52E23">
              <w:rPr>
                <w:rFonts w:ascii="Arial" w:hAnsi="Arial" w:cs="Arial"/>
              </w:rPr>
              <w:t xml:space="preserve">Άρθρο </w:t>
            </w:r>
            <w:r w:rsidRPr="00F52E23">
              <w:rPr>
                <w:rFonts w:ascii="Arial" w:hAnsi="Arial" w:cs="Arial"/>
                <w:lang w:val="en-GB"/>
              </w:rPr>
              <w:t xml:space="preserve"> 44</w:t>
            </w:r>
            <w:r w:rsidRPr="00F52E23">
              <w:rPr>
                <w:rFonts w:ascii="Arial" w:hAnsi="Arial" w:cs="Arial"/>
              </w:rPr>
              <w:t>α</w:t>
            </w:r>
            <w:r w:rsidRPr="00F52E23">
              <w:rPr>
                <w:rFonts w:ascii="Arial" w:hAnsi="Arial" w:cs="Arial"/>
                <w:lang w:val="en-GB"/>
              </w:rPr>
              <w:t>.6</w:t>
            </w:r>
          </w:p>
        </w:tc>
        <w:tc>
          <w:tcPr>
            <w:tcW w:w="8051" w:type="dxa"/>
          </w:tcPr>
          <w:p w14:paraId="36991D97" w14:textId="77777777" w:rsidR="006B098E" w:rsidRPr="00F52E23" w:rsidRDefault="006B098E" w:rsidP="005E0555">
            <w:pPr>
              <w:jc w:val="both"/>
              <w:rPr>
                <w:rFonts w:ascii="Arial" w:hAnsi="Arial" w:cs="Arial"/>
              </w:rPr>
            </w:pPr>
            <w:r w:rsidRPr="00F52E23">
              <w:rPr>
                <w:rFonts w:ascii="Arial" w:hAnsi="Arial" w:cs="Arial"/>
              </w:rPr>
              <w:t xml:space="preserve"> Όταν η αξία των συνολικών στοιχείων ενεργητικού των οντοτήτων που αναφέρονται στο άρθρο 1 παράγραφος 1, οι οποίες είναι εγκατεστημένες σε κράτος μέλος και υπόκεινται στην απαίτηση που αναφέρεται στο άρθρο 45ε δεν υπερβαίνει τα 50 δισεκατομμύρια </w:t>
            </w:r>
            <w:r w:rsidRPr="00F52E23">
              <w:rPr>
                <w:rFonts w:ascii="Arial" w:hAnsi="Arial" w:cs="Arial"/>
                <w:lang w:val="en-GB"/>
              </w:rPr>
              <w:t>E</w:t>
            </w:r>
            <w:r w:rsidRPr="00F52E23">
              <w:rPr>
                <w:rFonts w:ascii="Arial" w:hAnsi="Arial" w:cs="Arial"/>
              </w:rPr>
              <w:t>UR, το εν λόγω κράτος μέλος μπορεί, κατά παρέκκλιση από τις απαιτήσεις που ορίζονται στις παραγράφους 1 έως 5 του παρόντος άρθρου να εφαρμόζει μόνο την απαίτηση που ορίζεται στην παράγραφο 2 στοιχείο β) του παρόντος άρθρου</w:t>
            </w:r>
          </w:p>
          <w:p w14:paraId="2B10F90E" w14:textId="77777777" w:rsidR="006B098E" w:rsidRPr="00F52E23" w:rsidRDefault="006B098E" w:rsidP="005E0555">
            <w:pPr>
              <w:jc w:val="both"/>
              <w:rPr>
                <w:rFonts w:ascii="Arial" w:hAnsi="Arial" w:cs="Arial"/>
              </w:rPr>
            </w:pPr>
          </w:p>
        </w:tc>
      </w:tr>
      <w:tr w:rsidR="006B098E" w:rsidRPr="00C0118F" w14:paraId="5E5465F9" w14:textId="77777777" w:rsidTr="006B098E">
        <w:tc>
          <w:tcPr>
            <w:tcW w:w="367" w:type="dxa"/>
          </w:tcPr>
          <w:p w14:paraId="31746EB2" w14:textId="77777777" w:rsidR="006B098E" w:rsidRPr="00F52E23" w:rsidRDefault="006B098E" w:rsidP="005E0555">
            <w:pPr>
              <w:rPr>
                <w:rFonts w:ascii="Arial" w:hAnsi="Arial" w:cs="Arial"/>
              </w:rPr>
            </w:pPr>
          </w:p>
        </w:tc>
        <w:tc>
          <w:tcPr>
            <w:tcW w:w="2043" w:type="dxa"/>
          </w:tcPr>
          <w:p w14:paraId="5AC77DED" w14:textId="77777777" w:rsidR="006B098E" w:rsidRPr="00F52E23" w:rsidRDefault="006B098E" w:rsidP="005E0555">
            <w:pPr>
              <w:rPr>
                <w:rFonts w:ascii="Arial" w:hAnsi="Arial" w:cs="Arial"/>
              </w:rPr>
            </w:pPr>
            <w:r w:rsidRPr="00F52E23">
              <w:rPr>
                <w:rFonts w:ascii="Arial" w:hAnsi="Arial" w:cs="Arial"/>
              </w:rPr>
              <w:t xml:space="preserve">Άρθρο </w:t>
            </w:r>
            <w:r w:rsidRPr="00F52E23">
              <w:rPr>
                <w:rFonts w:ascii="Arial" w:hAnsi="Arial" w:cs="Arial"/>
                <w:lang w:val="en-US"/>
              </w:rPr>
              <w:t xml:space="preserve"> 44</w:t>
            </w:r>
            <w:r w:rsidRPr="00F52E23">
              <w:rPr>
                <w:rFonts w:ascii="Arial" w:hAnsi="Arial" w:cs="Arial"/>
                <w:vertAlign w:val="superscript"/>
              </w:rPr>
              <w:t xml:space="preserve"> </w:t>
            </w:r>
            <w:r w:rsidRPr="00F52E23">
              <w:rPr>
                <w:rFonts w:ascii="Arial" w:hAnsi="Arial" w:cs="Arial"/>
              </w:rPr>
              <w:t>α.7</w:t>
            </w:r>
          </w:p>
        </w:tc>
        <w:tc>
          <w:tcPr>
            <w:tcW w:w="8051" w:type="dxa"/>
          </w:tcPr>
          <w:p w14:paraId="3236D014" w14:textId="77777777" w:rsidR="006B098E" w:rsidRPr="00F52E23" w:rsidRDefault="006B098E" w:rsidP="00F26B03">
            <w:pPr>
              <w:jc w:val="both"/>
              <w:rPr>
                <w:rFonts w:ascii="Arial" w:hAnsi="Arial" w:cs="Arial"/>
              </w:rPr>
            </w:pPr>
            <w:r w:rsidRPr="00F52E23">
              <w:rPr>
                <w:rFonts w:ascii="Arial" w:eastAsia="Times New Roman" w:hAnsi="Arial" w:cs="Arial"/>
                <w:color w:val="000000"/>
                <w:lang w:eastAsia="el-GR"/>
              </w:rPr>
              <w:t> </w:t>
            </w:r>
            <w:r w:rsidRPr="00F52E23">
              <w:rPr>
                <w:rFonts w:ascii="Arial" w:hAnsi="Arial" w:cs="Arial"/>
              </w:rPr>
              <w:t>Τα κράτη μέλη δεν υποχρεούνται να εφαρμόζουν το άρθρο 44α σε υποχρεώσεις που αναφέρονται στην παράγραφο 1 (Επιλέξιμες υποχρεώσεις σύμφωνα με το άρθρο 72α του Κανονισμού 575/2013 με εξαίρεση το στοιχείο (β) του άρθρου 72 α, παράγραφος 1 και τις παραγράφους 3 έως 5 του άρθρου 72 β του εν λόγω Κανονισμού)  που έχουν εκδοθεί πριν από τις 28 Δεκεμβρίου 2020.</w:t>
            </w:r>
          </w:p>
        </w:tc>
      </w:tr>
      <w:tr w:rsidR="006B098E" w:rsidRPr="007B2F34" w14:paraId="328E8A8B" w14:textId="77777777" w:rsidTr="006B098E">
        <w:tc>
          <w:tcPr>
            <w:tcW w:w="367" w:type="dxa"/>
          </w:tcPr>
          <w:p w14:paraId="66D8D719" w14:textId="77777777" w:rsidR="006B098E" w:rsidRPr="00F52E23" w:rsidRDefault="006B098E" w:rsidP="005E0555">
            <w:pPr>
              <w:rPr>
                <w:rFonts w:ascii="Arial" w:hAnsi="Arial" w:cs="Arial"/>
              </w:rPr>
            </w:pPr>
            <w:r w:rsidRPr="00F52E23">
              <w:rPr>
                <w:rFonts w:ascii="Arial" w:hAnsi="Arial" w:cs="Arial"/>
              </w:rPr>
              <w:t>5</w:t>
            </w:r>
          </w:p>
        </w:tc>
        <w:tc>
          <w:tcPr>
            <w:tcW w:w="2043" w:type="dxa"/>
          </w:tcPr>
          <w:p w14:paraId="27C0CB86" w14:textId="77777777" w:rsidR="006B098E" w:rsidRPr="00F52E23" w:rsidRDefault="006B098E" w:rsidP="005E0555">
            <w:pPr>
              <w:rPr>
                <w:rFonts w:ascii="Arial" w:hAnsi="Arial" w:cs="Arial"/>
              </w:rPr>
            </w:pPr>
            <w:r w:rsidRPr="00F52E23">
              <w:rPr>
                <w:rFonts w:ascii="Arial" w:hAnsi="Arial" w:cs="Arial"/>
              </w:rPr>
              <w:t>Άρθρο  45β.8</w:t>
            </w:r>
          </w:p>
          <w:p w14:paraId="2A4CADAC" w14:textId="77777777" w:rsidR="006B098E" w:rsidRPr="00F52E23" w:rsidRDefault="006B098E" w:rsidP="005E0555">
            <w:pPr>
              <w:rPr>
                <w:rFonts w:ascii="Arial" w:hAnsi="Arial" w:cs="Arial"/>
              </w:rPr>
            </w:pPr>
            <w:r w:rsidRPr="00F52E23">
              <w:rPr>
                <w:rFonts w:ascii="Arial" w:hAnsi="Arial" w:cs="Arial"/>
              </w:rPr>
              <w:t xml:space="preserve">Επιλέξιμες υποχρεώσεις  για </w:t>
            </w:r>
            <w:r w:rsidRPr="00F52E23">
              <w:rPr>
                <w:rFonts w:ascii="Arial" w:hAnsi="Arial" w:cs="Arial"/>
              </w:rPr>
              <w:lastRenderedPageBreak/>
              <w:t xml:space="preserve">οντότητες εξυγίανσης </w:t>
            </w:r>
          </w:p>
        </w:tc>
        <w:tc>
          <w:tcPr>
            <w:tcW w:w="8051" w:type="dxa"/>
          </w:tcPr>
          <w:p w14:paraId="5AAF58BA" w14:textId="07C3CA2B" w:rsidR="006B098E" w:rsidRPr="00F52E23" w:rsidRDefault="006B098E" w:rsidP="005E0555">
            <w:pPr>
              <w:jc w:val="both"/>
              <w:rPr>
                <w:rFonts w:ascii="Arial" w:hAnsi="Arial" w:cs="Arial"/>
              </w:rPr>
            </w:pPr>
            <w:r w:rsidRPr="00F52E23">
              <w:rPr>
                <w:rFonts w:ascii="Arial" w:hAnsi="Arial" w:cs="Arial"/>
              </w:rPr>
              <w:lastRenderedPageBreak/>
              <w:t xml:space="preserve">Τα κράτη μέλη μπορούν, λαμβάνοντας υπόψη τις ιδιαιτερότητες του εθνικού τραπεζικού τομέα τους, συμπεριλαμβανομένου ιδίως του αριθμού των οντοτήτων εξυγίανσης που είναι G-SII ή υπόκεινται στο άρθρο 45γ παράγραφος 5 ή 6 για τις </w:t>
            </w:r>
            <w:r w:rsidRPr="00F52E23">
              <w:rPr>
                <w:rFonts w:ascii="Arial" w:hAnsi="Arial" w:cs="Arial"/>
              </w:rPr>
              <w:lastRenderedPageBreak/>
              <w:t>οποίες η εθνική αρχή εξυγίανσης καθορίζει την απαίτηση που αναφέρεται στο άρθρο 45ε, να ορίζουν το ποσοστό που αναφέρεται στο πρώτο εδάφιο σε επίπεδο άνω του 30 %, λαμβάνοντας υπόψη τις ιδιαιτερότητες του τραπεζικού τομέα.</w:t>
            </w:r>
          </w:p>
          <w:p w14:paraId="13EBCF15" w14:textId="6D7F9E0F" w:rsidR="006B098E" w:rsidRPr="00F52E23" w:rsidRDefault="006B098E" w:rsidP="005E0555">
            <w:pPr>
              <w:jc w:val="both"/>
              <w:rPr>
                <w:rFonts w:ascii="Arial" w:hAnsi="Arial" w:cs="Arial"/>
              </w:rPr>
            </w:pPr>
            <w:r w:rsidRPr="00F52E23">
              <w:rPr>
                <w:rFonts w:ascii="Arial" w:hAnsi="Arial" w:cs="Arial"/>
              </w:rPr>
              <w:t xml:space="preserve"> </w:t>
            </w:r>
          </w:p>
          <w:p w14:paraId="5874279A" w14:textId="074414DE" w:rsidR="006B098E" w:rsidRPr="004A2284" w:rsidRDefault="006B098E" w:rsidP="005E0555">
            <w:pPr>
              <w:jc w:val="both"/>
              <w:rPr>
                <w:rFonts w:ascii="Arial" w:hAnsi="Arial" w:cs="Arial"/>
                <w:bCs/>
                <w:lang w:val="en-US"/>
              </w:rPr>
            </w:pPr>
            <w:proofErr w:type="spellStart"/>
            <w:r w:rsidRPr="004A2284">
              <w:rPr>
                <w:rFonts w:ascii="Arial" w:hAnsi="Arial" w:cs="Arial"/>
                <w:bCs/>
              </w:rPr>
              <w:t>Σημ</w:t>
            </w:r>
            <w:proofErr w:type="spellEnd"/>
            <w:r w:rsidRPr="004A2284">
              <w:rPr>
                <w:rFonts w:ascii="Arial" w:hAnsi="Arial" w:cs="Arial"/>
                <w:bCs/>
                <w:lang w:val="en-US"/>
              </w:rPr>
              <w:t>.</w:t>
            </w:r>
            <w:r w:rsidR="004A2284" w:rsidRPr="004A2284">
              <w:rPr>
                <w:rFonts w:ascii="Arial" w:hAnsi="Arial" w:cs="Arial"/>
                <w:bCs/>
                <w:lang w:val="en-US"/>
              </w:rPr>
              <w:t>:</w:t>
            </w:r>
            <w:r w:rsidRPr="004A2284">
              <w:rPr>
                <w:rFonts w:ascii="Arial" w:hAnsi="Arial" w:cs="Arial"/>
                <w:bCs/>
                <w:lang w:val="en-US"/>
              </w:rPr>
              <w:t xml:space="preserve"> </w:t>
            </w:r>
            <w:r w:rsidRPr="004A2284">
              <w:rPr>
                <w:rFonts w:ascii="Arial" w:hAnsi="Arial" w:cs="Arial"/>
                <w:bCs/>
              </w:rPr>
              <w:t>Στην</w:t>
            </w:r>
            <w:r w:rsidRPr="004A2284">
              <w:rPr>
                <w:rFonts w:ascii="Arial" w:hAnsi="Arial" w:cs="Arial"/>
                <w:bCs/>
                <w:lang w:val="en-US"/>
              </w:rPr>
              <w:t xml:space="preserve"> </w:t>
            </w:r>
            <w:r w:rsidRPr="004A2284">
              <w:rPr>
                <w:rFonts w:ascii="Arial" w:hAnsi="Arial" w:cs="Arial"/>
                <w:bCs/>
              </w:rPr>
              <w:t>Κύπρο</w:t>
            </w:r>
            <w:r w:rsidRPr="004A2284">
              <w:rPr>
                <w:rFonts w:ascii="Arial" w:hAnsi="Arial" w:cs="Arial"/>
                <w:bCs/>
                <w:lang w:val="en-US"/>
              </w:rPr>
              <w:t xml:space="preserve"> </w:t>
            </w:r>
            <w:r w:rsidRPr="004A2284">
              <w:rPr>
                <w:rFonts w:ascii="Arial" w:hAnsi="Arial" w:cs="Arial"/>
                <w:bCs/>
              </w:rPr>
              <w:t>δεν</w:t>
            </w:r>
            <w:r w:rsidRPr="004A2284">
              <w:rPr>
                <w:rFonts w:ascii="Arial" w:hAnsi="Arial" w:cs="Arial"/>
                <w:bCs/>
                <w:lang w:val="en-US"/>
              </w:rPr>
              <w:t xml:space="preserve"> </w:t>
            </w:r>
            <w:r w:rsidRPr="004A2284">
              <w:rPr>
                <w:rFonts w:ascii="Arial" w:hAnsi="Arial" w:cs="Arial"/>
                <w:bCs/>
              </w:rPr>
              <w:t>έχουμε</w:t>
            </w:r>
            <w:r w:rsidRPr="004A2284">
              <w:rPr>
                <w:rFonts w:ascii="Arial" w:hAnsi="Arial" w:cs="Arial"/>
                <w:bCs/>
                <w:lang w:val="en-US"/>
              </w:rPr>
              <w:t xml:space="preserve"> G-SII (Globally Systematically Important Institutions)</w:t>
            </w:r>
          </w:p>
          <w:p w14:paraId="7B202A04" w14:textId="77777777" w:rsidR="006B098E" w:rsidRPr="00F52E23" w:rsidRDefault="006B098E" w:rsidP="005E0555">
            <w:pPr>
              <w:jc w:val="both"/>
              <w:rPr>
                <w:rFonts w:ascii="Arial" w:hAnsi="Arial" w:cs="Arial"/>
                <w:lang w:val="en-US"/>
              </w:rPr>
            </w:pPr>
          </w:p>
        </w:tc>
      </w:tr>
      <w:tr w:rsidR="006B098E" w:rsidRPr="00C0118F" w14:paraId="6E1F865D" w14:textId="77777777" w:rsidTr="006B098E">
        <w:tc>
          <w:tcPr>
            <w:tcW w:w="367" w:type="dxa"/>
          </w:tcPr>
          <w:p w14:paraId="2165CE2A" w14:textId="77777777" w:rsidR="006B098E" w:rsidRPr="00F52E23" w:rsidRDefault="006B098E" w:rsidP="005E0555">
            <w:pPr>
              <w:rPr>
                <w:rFonts w:ascii="Arial" w:hAnsi="Arial" w:cs="Arial"/>
                <w:lang w:val="en-GB"/>
              </w:rPr>
            </w:pPr>
            <w:r w:rsidRPr="00F52E23">
              <w:rPr>
                <w:rFonts w:ascii="Arial" w:hAnsi="Arial" w:cs="Arial"/>
                <w:lang w:val="en-GB"/>
              </w:rPr>
              <w:lastRenderedPageBreak/>
              <w:t>7</w:t>
            </w:r>
          </w:p>
        </w:tc>
        <w:tc>
          <w:tcPr>
            <w:tcW w:w="2043" w:type="dxa"/>
          </w:tcPr>
          <w:p w14:paraId="59A2E8AA" w14:textId="77777777" w:rsidR="006B098E" w:rsidRPr="00F52E23" w:rsidRDefault="006B098E" w:rsidP="005E0555">
            <w:pPr>
              <w:rPr>
                <w:rFonts w:ascii="Arial" w:hAnsi="Arial" w:cs="Arial"/>
                <w:lang w:val="en-GB"/>
              </w:rPr>
            </w:pPr>
            <w:r w:rsidRPr="00F52E23">
              <w:rPr>
                <w:rFonts w:ascii="Arial" w:hAnsi="Arial" w:cs="Arial"/>
              </w:rPr>
              <w:t>Άρθρο</w:t>
            </w:r>
            <w:r w:rsidRPr="00F52E23">
              <w:rPr>
                <w:rFonts w:ascii="Arial" w:hAnsi="Arial" w:cs="Arial"/>
                <w:lang w:val="en-GB"/>
              </w:rPr>
              <w:t xml:space="preserve"> 71</w:t>
            </w:r>
            <w:r w:rsidRPr="00F52E23">
              <w:rPr>
                <w:rFonts w:ascii="Arial" w:hAnsi="Arial" w:cs="Arial"/>
              </w:rPr>
              <w:t>α</w:t>
            </w:r>
            <w:r w:rsidRPr="00F52E23">
              <w:rPr>
                <w:rFonts w:ascii="Arial" w:hAnsi="Arial" w:cs="Arial"/>
                <w:lang w:val="en-GB"/>
              </w:rPr>
              <w:t>.2</w:t>
            </w:r>
          </w:p>
        </w:tc>
        <w:tc>
          <w:tcPr>
            <w:tcW w:w="8051" w:type="dxa"/>
          </w:tcPr>
          <w:p w14:paraId="59C49F91" w14:textId="77777777" w:rsidR="006B098E" w:rsidRPr="00F52E23" w:rsidRDefault="006B098E" w:rsidP="005E0555">
            <w:pPr>
              <w:jc w:val="both"/>
              <w:rPr>
                <w:rFonts w:ascii="Arial" w:hAnsi="Arial" w:cs="Arial"/>
              </w:rPr>
            </w:pPr>
            <w:r w:rsidRPr="00F52E23">
              <w:rPr>
                <w:rFonts w:ascii="Arial" w:hAnsi="Arial" w:cs="Arial"/>
              </w:rPr>
              <w:t xml:space="preserve">Τα κράτη μέλη μπορούν να απαιτούν από τις </w:t>
            </w:r>
            <w:proofErr w:type="spellStart"/>
            <w:r w:rsidRPr="00F52E23">
              <w:rPr>
                <w:rFonts w:ascii="Arial" w:hAnsi="Arial" w:cs="Arial"/>
              </w:rPr>
              <w:t>ενωσιακές</w:t>
            </w:r>
            <w:proofErr w:type="spellEnd"/>
            <w:r w:rsidRPr="00F52E23">
              <w:rPr>
                <w:rFonts w:ascii="Arial" w:hAnsi="Arial" w:cs="Arial"/>
              </w:rPr>
              <w:t xml:space="preserve"> μητρικές επιχειρήσεις να διασφαλίζουν ότι οι οικείες θυγατρικές τρίτης χώρας περιλαμβάνουν, στις  χρηματοπιστωτικές συμβάσεις που αναφέρονται στην παράγραφο 1, όρους ώστε να αποκλειστεί το ενδεχόμενο η άσκηση της εξουσίας της αρχής εξυγίανσης να αναστέλλει ή να περιορίζει τα δικαιώματα και τις υποχρεώσεις της μητρικής επιχείρησης της Ένωσης, σύμφωνα με την παράγραφο 1, να αποτελεί έγκυρο λόγο για την άσκηση δικαιώματος πρόωρης καταγγελίας, αναστολής, τροποποίησης, συμψηφισμού ή </w:t>
            </w:r>
            <w:proofErr w:type="spellStart"/>
            <w:r w:rsidRPr="00F52E23">
              <w:rPr>
                <w:rFonts w:ascii="Arial" w:hAnsi="Arial" w:cs="Arial"/>
              </w:rPr>
              <w:t>αλληλοσυμψηφισμού</w:t>
            </w:r>
            <w:proofErr w:type="spellEnd"/>
            <w:r w:rsidRPr="00F52E23">
              <w:rPr>
                <w:rFonts w:ascii="Arial" w:hAnsi="Arial" w:cs="Arial"/>
              </w:rPr>
              <w:t>, ή για την αναγκαστική εκτέλεση συμφωνιών παροχής ασφάλειας για τις εν λόγω συμβάσεις.</w:t>
            </w:r>
          </w:p>
          <w:p w14:paraId="0B003720" w14:textId="77777777" w:rsidR="006B098E" w:rsidRPr="00F52E23" w:rsidRDefault="006B098E" w:rsidP="005E0555">
            <w:pPr>
              <w:jc w:val="both"/>
              <w:rPr>
                <w:rFonts w:ascii="Arial" w:hAnsi="Arial" w:cs="Arial"/>
              </w:rPr>
            </w:pPr>
          </w:p>
        </w:tc>
      </w:tr>
      <w:tr w:rsidR="006B098E" w:rsidRPr="00C0118F" w14:paraId="4E62AD8F" w14:textId="77777777" w:rsidTr="006B098E">
        <w:tc>
          <w:tcPr>
            <w:tcW w:w="367" w:type="dxa"/>
          </w:tcPr>
          <w:p w14:paraId="4A728F9A" w14:textId="77777777" w:rsidR="006B098E" w:rsidRPr="00F52E23" w:rsidRDefault="006B098E" w:rsidP="005E0555">
            <w:pPr>
              <w:rPr>
                <w:rFonts w:ascii="Arial" w:hAnsi="Arial" w:cs="Arial"/>
                <w:lang w:val="en-GB"/>
              </w:rPr>
            </w:pPr>
            <w:r w:rsidRPr="00F52E23">
              <w:rPr>
                <w:rFonts w:ascii="Arial" w:hAnsi="Arial" w:cs="Arial"/>
                <w:lang w:val="en-GB"/>
              </w:rPr>
              <w:t>8</w:t>
            </w:r>
          </w:p>
        </w:tc>
        <w:tc>
          <w:tcPr>
            <w:tcW w:w="2043" w:type="dxa"/>
          </w:tcPr>
          <w:p w14:paraId="27FBDD7D" w14:textId="77777777" w:rsidR="006B098E" w:rsidRPr="00F52E23" w:rsidRDefault="006B098E" w:rsidP="005E0555">
            <w:pPr>
              <w:rPr>
                <w:rFonts w:ascii="Arial" w:hAnsi="Arial" w:cs="Arial"/>
                <w:lang w:val="en-GB"/>
              </w:rPr>
            </w:pPr>
            <w:r w:rsidRPr="00F52E23">
              <w:rPr>
                <w:rFonts w:ascii="Arial" w:hAnsi="Arial" w:cs="Arial"/>
              </w:rPr>
              <w:t>Άρθρο</w:t>
            </w:r>
            <w:r w:rsidRPr="00F52E23">
              <w:rPr>
                <w:rFonts w:ascii="Arial" w:hAnsi="Arial" w:cs="Arial"/>
                <w:lang w:val="en-GB"/>
              </w:rPr>
              <w:t xml:space="preserve"> 89.4 </w:t>
            </w:r>
          </w:p>
        </w:tc>
        <w:tc>
          <w:tcPr>
            <w:tcW w:w="8051" w:type="dxa"/>
          </w:tcPr>
          <w:p w14:paraId="046CD663" w14:textId="77777777" w:rsidR="006B098E" w:rsidRPr="00F52E23" w:rsidRDefault="006B098E" w:rsidP="005E0555">
            <w:pPr>
              <w:jc w:val="both"/>
              <w:rPr>
                <w:rFonts w:ascii="Arial" w:hAnsi="Arial" w:cs="Arial"/>
              </w:rPr>
            </w:pPr>
            <w:r w:rsidRPr="00F52E23">
              <w:rPr>
                <w:rFonts w:ascii="Arial" w:hAnsi="Arial" w:cs="Arial"/>
              </w:rPr>
              <w:t>Τα κράτη μέλη μπορούν, με αμοιβαία συμφωνία όλων των ενδιαφερομένων μερών, να άρουν την υποχρέωση να δημιουργηθεί ευρωπαϊκό σώμα εξυγίανσης, εάν άλλη ομάδα ή άλλο σώμα εκτελεί τις ίδιες εργασίες και τα ίδια καθήκοντα που καθορίζονται στο παρόν άρθρο και πληροί όλες τις προϋποθέσεις και τις διαδικασίες, συμπεριλαμβανομένων εκείνων που καλύπτουν την ιδιότητα μέλους και τη συμμετοχή στα ευρωπαϊκά σώματα εξυγίανσης, που ορίζονται στο παρόν άρθρο και στο άρθρο 90. Στην περίπτωση αυτή, κάθε αναφορά σε ευρωπαϊκά σώματα εξυγίανσης στην παρούσα οδηγία θεωρείται επίσης αναφορά σε αυτές τις άλλες ομάδες ή σώματα.</w:t>
            </w:r>
          </w:p>
          <w:p w14:paraId="5E693C80" w14:textId="77777777" w:rsidR="006B098E" w:rsidRPr="00F52E23" w:rsidRDefault="006B098E" w:rsidP="005E0555">
            <w:pPr>
              <w:jc w:val="both"/>
              <w:rPr>
                <w:rFonts w:ascii="Arial" w:hAnsi="Arial" w:cs="Arial"/>
              </w:rPr>
            </w:pPr>
          </w:p>
        </w:tc>
      </w:tr>
    </w:tbl>
    <w:p w14:paraId="3AA92B34" w14:textId="77777777" w:rsidR="001D07D2" w:rsidRPr="00F915FF" w:rsidRDefault="001D07D2" w:rsidP="00CA4C3E">
      <w:pPr>
        <w:spacing w:after="0" w:line="240" w:lineRule="auto"/>
        <w:jc w:val="both"/>
        <w:rPr>
          <w:lang w:val="el-GR"/>
        </w:rPr>
      </w:pPr>
    </w:p>
    <w:sectPr w:rsidR="001D07D2" w:rsidRPr="00F915FF" w:rsidSect="001A2ECB">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23408" w14:textId="77777777" w:rsidR="00DB3EB6" w:rsidRDefault="00DB3EB6" w:rsidP="00B741A8">
      <w:pPr>
        <w:spacing w:after="0" w:line="240" w:lineRule="auto"/>
      </w:pPr>
      <w:r>
        <w:separator/>
      </w:r>
    </w:p>
  </w:endnote>
  <w:endnote w:type="continuationSeparator" w:id="0">
    <w:p w14:paraId="624CCA62" w14:textId="77777777" w:rsidR="00DB3EB6" w:rsidRDefault="00DB3EB6" w:rsidP="00B74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altName w:val="Courier New PSMT"/>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C9285" w14:textId="64462DF2" w:rsidR="00E2642C" w:rsidRPr="00E2642C" w:rsidRDefault="00E2642C">
    <w:pPr>
      <w:pStyle w:val="Footer"/>
      <w:rPr>
        <w:sz w:val="18"/>
        <w:szCs w:val="18"/>
      </w:rPr>
    </w:pPr>
    <w:r w:rsidRPr="00E2642C">
      <w:rPr>
        <w:sz w:val="18"/>
        <w:szCs w:val="18"/>
      </w:rPr>
      <w:fldChar w:fldCharType="begin"/>
    </w:r>
    <w:r w:rsidRPr="00E2642C">
      <w:rPr>
        <w:sz w:val="18"/>
        <w:szCs w:val="18"/>
      </w:rPr>
      <w:instrText xml:space="preserve"> FILENAME   \* MERGEFORMAT </w:instrText>
    </w:r>
    <w:r w:rsidRPr="00E2642C">
      <w:rPr>
        <w:sz w:val="18"/>
        <w:szCs w:val="18"/>
      </w:rPr>
      <w:fldChar w:fldCharType="separate"/>
    </w:r>
    <w:r w:rsidR="007B2F34">
      <w:rPr>
        <w:noProof/>
        <w:sz w:val="18"/>
        <w:szCs w:val="18"/>
      </w:rPr>
      <w:t>Public Assessment Diakritikes 879</w:t>
    </w:r>
    <w:r w:rsidRPr="00E2642C">
      <w:rPr>
        <w:sz w:val="18"/>
        <w:szCs w:val="18"/>
      </w:rPr>
      <w:fldChar w:fldCharType="end"/>
    </w:r>
    <w:r>
      <w:rPr>
        <w:sz w:val="18"/>
        <w:szCs w:val="18"/>
      </w:rPr>
      <w:t xml:space="preserve">/ </w:t>
    </w:r>
    <w:proofErr w:type="spellStart"/>
    <w:r>
      <w:rPr>
        <w:sz w:val="18"/>
        <w:szCs w:val="18"/>
      </w:rPr>
      <w:t>gth</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26ED2" w14:textId="77777777" w:rsidR="00DB3EB6" w:rsidRDefault="00DB3EB6" w:rsidP="00B741A8">
      <w:pPr>
        <w:spacing w:after="0" w:line="240" w:lineRule="auto"/>
      </w:pPr>
      <w:r>
        <w:separator/>
      </w:r>
    </w:p>
  </w:footnote>
  <w:footnote w:type="continuationSeparator" w:id="0">
    <w:p w14:paraId="5505379E" w14:textId="77777777" w:rsidR="00DB3EB6" w:rsidRDefault="00DB3EB6" w:rsidP="00B741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57C73"/>
    <w:multiLevelType w:val="multilevel"/>
    <w:tmpl w:val="5A8E86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8863DD"/>
    <w:multiLevelType w:val="hybridMultilevel"/>
    <w:tmpl w:val="0E925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4A63A3"/>
    <w:multiLevelType w:val="multilevel"/>
    <w:tmpl w:val="6B0ABA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8A6D93"/>
    <w:multiLevelType w:val="multilevel"/>
    <w:tmpl w:val="DBD044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E217A8"/>
    <w:multiLevelType w:val="hybridMultilevel"/>
    <w:tmpl w:val="5FAC9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226752"/>
    <w:multiLevelType w:val="hybridMultilevel"/>
    <w:tmpl w:val="EFBE0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205976"/>
    <w:multiLevelType w:val="hybridMultilevel"/>
    <w:tmpl w:val="7A8A98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4"/>
  </w:num>
  <w:num w:numId="2">
    <w:abstractNumId w:val="6"/>
  </w:num>
  <w:num w:numId="3">
    <w:abstractNumId w:val="0"/>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6FA"/>
    <w:rsid w:val="00004FE4"/>
    <w:rsid w:val="00043C3E"/>
    <w:rsid w:val="00063B9D"/>
    <w:rsid w:val="00077095"/>
    <w:rsid w:val="00097085"/>
    <w:rsid w:val="000B3B68"/>
    <w:rsid w:val="000C5CE8"/>
    <w:rsid w:val="0010024E"/>
    <w:rsid w:val="00101BC1"/>
    <w:rsid w:val="001131BA"/>
    <w:rsid w:val="00130374"/>
    <w:rsid w:val="00143885"/>
    <w:rsid w:val="001455E5"/>
    <w:rsid w:val="001512A7"/>
    <w:rsid w:val="00152F56"/>
    <w:rsid w:val="001546D1"/>
    <w:rsid w:val="001655A9"/>
    <w:rsid w:val="00181DAD"/>
    <w:rsid w:val="00185B94"/>
    <w:rsid w:val="001A2ECB"/>
    <w:rsid w:val="001A38A8"/>
    <w:rsid w:val="001A7B3D"/>
    <w:rsid w:val="001B5775"/>
    <w:rsid w:val="001D07D2"/>
    <w:rsid w:val="001D26B6"/>
    <w:rsid w:val="001E0AA6"/>
    <w:rsid w:val="001E105F"/>
    <w:rsid w:val="001E3D42"/>
    <w:rsid w:val="00224118"/>
    <w:rsid w:val="002272F2"/>
    <w:rsid w:val="00230BE3"/>
    <w:rsid w:val="002352AB"/>
    <w:rsid w:val="002641A0"/>
    <w:rsid w:val="002A4BB4"/>
    <w:rsid w:val="002B479E"/>
    <w:rsid w:val="002C30BA"/>
    <w:rsid w:val="002C3D63"/>
    <w:rsid w:val="002C51B7"/>
    <w:rsid w:val="002D0705"/>
    <w:rsid w:val="002E48CE"/>
    <w:rsid w:val="0030055A"/>
    <w:rsid w:val="00312894"/>
    <w:rsid w:val="00313E00"/>
    <w:rsid w:val="00391D2A"/>
    <w:rsid w:val="003C69B2"/>
    <w:rsid w:val="003D3EAB"/>
    <w:rsid w:val="003E6AE5"/>
    <w:rsid w:val="003F6F99"/>
    <w:rsid w:val="00403835"/>
    <w:rsid w:val="00403EA1"/>
    <w:rsid w:val="00411A5E"/>
    <w:rsid w:val="0041267B"/>
    <w:rsid w:val="0044454D"/>
    <w:rsid w:val="00454335"/>
    <w:rsid w:val="00473F6B"/>
    <w:rsid w:val="004A2284"/>
    <w:rsid w:val="004A4F52"/>
    <w:rsid w:val="004B5689"/>
    <w:rsid w:val="004E2A36"/>
    <w:rsid w:val="004F0623"/>
    <w:rsid w:val="005016D5"/>
    <w:rsid w:val="00514034"/>
    <w:rsid w:val="005616FA"/>
    <w:rsid w:val="00570E17"/>
    <w:rsid w:val="00571F51"/>
    <w:rsid w:val="00592B3A"/>
    <w:rsid w:val="005A0FA1"/>
    <w:rsid w:val="005B0EC3"/>
    <w:rsid w:val="005B25E6"/>
    <w:rsid w:val="005C50B2"/>
    <w:rsid w:val="005E0555"/>
    <w:rsid w:val="005E2B5B"/>
    <w:rsid w:val="00607680"/>
    <w:rsid w:val="00661534"/>
    <w:rsid w:val="00690B0A"/>
    <w:rsid w:val="00691655"/>
    <w:rsid w:val="006A253A"/>
    <w:rsid w:val="006B098E"/>
    <w:rsid w:val="006C4AD6"/>
    <w:rsid w:val="006D5EB1"/>
    <w:rsid w:val="006E202C"/>
    <w:rsid w:val="006F0722"/>
    <w:rsid w:val="007042AC"/>
    <w:rsid w:val="0071702A"/>
    <w:rsid w:val="00730BFD"/>
    <w:rsid w:val="007672E0"/>
    <w:rsid w:val="007B2F34"/>
    <w:rsid w:val="007B4B0C"/>
    <w:rsid w:val="00805CC3"/>
    <w:rsid w:val="008271A7"/>
    <w:rsid w:val="008272E8"/>
    <w:rsid w:val="00857311"/>
    <w:rsid w:val="008A4CE6"/>
    <w:rsid w:val="008B23D4"/>
    <w:rsid w:val="008F736D"/>
    <w:rsid w:val="00930B89"/>
    <w:rsid w:val="009724CE"/>
    <w:rsid w:val="009D4768"/>
    <w:rsid w:val="009D726E"/>
    <w:rsid w:val="009E086B"/>
    <w:rsid w:val="009F3B4F"/>
    <w:rsid w:val="00A00C57"/>
    <w:rsid w:val="00A14DF8"/>
    <w:rsid w:val="00A468BE"/>
    <w:rsid w:val="00A83B68"/>
    <w:rsid w:val="00AA354C"/>
    <w:rsid w:val="00AC5403"/>
    <w:rsid w:val="00AE31BC"/>
    <w:rsid w:val="00AF2C68"/>
    <w:rsid w:val="00AF3B5C"/>
    <w:rsid w:val="00B14AD2"/>
    <w:rsid w:val="00B324F6"/>
    <w:rsid w:val="00B55BE4"/>
    <w:rsid w:val="00B741A8"/>
    <w:rsid w:val="00B95176"/>
    <w:rsid w:val="00BA79C7"/>
    <w:rsid w:val="00BC04DA"/>
    <w:rsid w:val="00C0118F"/>
    <w:rsid w:val="00C04DC7"/>
    <w:rsid w:val="00C219D4"/>
    <w:rsid w:val="00C35877"/>
    <w:rsid w:val="00C46D0A"/>
    <w:rsid w:val="00C8156B"/>
    <w:rsid w:val="00C976C4"/>
    <w:rsid w:val="00CA4C3E"/>
    <w:rsid w:val="00CB3DCB"/>
    <w:rsid w:val="00CF0E23"/>
    <w:rsid w:val="00D33C52"/>
    <w:rsid w:val="00D7313B"/>
    <w:rsid w:val="00D75F02"/>
    <w:rsid w:val="00D8397E"/>
    <w:rsid w:val="00D92CD3"/>
    <w:rsid w:val="00DA4852"/>
    <w:rsid w:val="00DB3EB6"/>
    <w:rsid w:val="00DD1E4F"/>
    <w:rsid w:val="00E13866"/>
    <w:rsid w:val="00E174E8"/>
    <w:rsid w:val="00E2143C"/>
    <w:rsid w:val="00E2642C"/>
    <w:rsid w:val="00E34685"/>
    <w:rsid w:val="00E56663"/>
    <w:rsid w:val="00E640EE"/>
    <w:rsid w:val="00EA264B"/>
    <w:rsid w:val="00EC38CF"/>
    <w:rsid w:val="00EE566B"/>
    <w:rsid w:val="00F14192"/>
    <w:rsid w:val="00F21947"/>
    <w:rsid w:val="00F26B03"/>
    <w:rsid w:val="00F44663"/>
    <w:rsid w:val="00F52E23"/>
    <w:rsid w:val="00F561D5"/>
    <w:rsid w:val="00F74ECA"/>
    <w:rsid w:val="00F83775"/>
    <w:rsid w:val="00F915FF"/>
    <w:rsid w:val="00FE4C09"/>
    <w:rsid w:val="00FF5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0D5A6"/>
  <w15:docId w15:val="{489568B4-5494-489B-B007-16FD3BC35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07D2"/>
    <w:rPr>
      <w:color w:val="0000FF" w:themeColor="hyperlink"/>
      <w:u w:val="single"/>
    </w:rPr>
  </w:style>
  <w:style w:type="paragraph" w:styleId="BalloonText">
    <w:name w:val="Balloon Text"/>
    <w:basedOn w:val="Normal"/>
    <w:link w:val="BalloonTextChar"/>
    <w:uiPriority w:val="99"/>
    <w:semiHidden/>
    <w:unhideWhenUsed/>
    <w:rsid w:val="00C35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877"/>
    <w:rPr>
      <w:rFonts w:ascii="Tahoma" w:hAnsi="Tahoma" w:cs="Tahoma"/>
      <w:sz w:val="16"/>
      <w:szCs w:val="16"/>
    </w:rPr>
  </w:style>
  <w:style w:type="paragraph" w:styleId="ListParagraph">
    <w:name w:val="List Paragraph"/>
    <w:basedOn w:val="Normal"/>
    <w:uiPriority w:val="34"/>
    <w:qFormat/>
    <w:rsid w:val="001A38A8"/>
    <w:pPr>
      <w:ind w:left="720"/>
      <w:contextualSpacing/>
    </w:pPr>
  </w:style>
  <w:style w:type="character" w:styleId="CommentReference">
    <w:name w:val="annotation reference"/>
    <w:basedOn w:val="DefaultParagraphFont"/>
    <w:uiPriority w:val="99"/>
    <w:semiHidden/>
    <w:unhideWhenUsed/>
    <w:rsid w:val="007B4B0C"/>
    <w:rPr>
      <w:sz w:val="16"/>
      <w:szCs w:val="16"/>
    </w:rPr>
  </w:style>
  <w:style w:type="paragraph" w:styleId="CommentText">
    <w:name w:val="annotation text"/>
    <w:basedOn w:val="Normal"/>
    <w:link w:val="CommentTextChar"/>
    <w:uiPriority w:val="99"/>
    <w:semiHidden/>
    <w:unhideWhenUsed/>
    <w:rsid w:val="007B4B0C"/>
    <w:pPr>
      <w:spacing w:line="240" w:lineRule="auto"/>
    </w:pPr>
    <w:rPr>
      <w:sz w:val="20"/>
      <w:szCs w:val="20"/>
    </w:rPr>
  </w:style>
  <w:style w:type="character" w:customStyle="1" w:styleId="CommentTextChar">
    <w:name w:val="Comment Text Char"/>
    <w:basedOn w:val="DefaultParagraphFont"/>
    <w:link w:val="CommentText"/>
    <w:uiPriority w:val="99"/>
    <w:semiHidden/>
    <w:rsid w:val="007B4B0C"/>
    <w:rPr>
      <w:sz w:val="20"/>
      <w:szCs w:val="20"/>
    </w:rPr>
  </w:style>
  <w:style w:type="paragraph" w:styleId="CommentSubject">
    <w:name w:val="annotation subject"/>
    <w:basedOn w:val="CommentText"/>
    <w:next w:val="CommentText"/>
    <w:link w:val="CommentSubjectChar"/>
    <w:uiPriority w:val="99"/>
    <w:semiHidden/>
    <w:unhideWhenUsed/>
    <w:rsid w:val="007B4B0C"/>
    <w:rPr>
      <w:b/>
      <w:bCs/>
    </w:rPr>
  </w:style>
  <w:style w:type="character" w:customStyle="1" w:styleId="CommentSubjectChar">
    <w:name w:val="Comment Subject Char"/>
    <w:basedOn w:val="CommentTextChar"/>
    <w:link w:val="CommentSubject"/>
    <w:uiPriority w:val="99"/>
    <w:semiHidden/>
    <w:rsid w:val="007B4B0C"/>
    <w:rPr>
      <w:b/>
      <w:bCs/>
      <w:sz w:val="20"/>
      <w:szCs w:val="20"/>
    </w:rPr>
  </w:style>
  <w:style w:type="paragraph" w:styleId="FootnoteText">
    <w:name w:val="footnote text"/>
    <w:basedOn w:val="Normal"/>
    <w:link w:val="FootnoteTextChar"/>
    <w:uiPriority w:val="99"/>
    <w:semiHidden/>
    <w:unhideWhenUsed/>
    <w:rsid w:val="00B741A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B741A8"/>
    <w:rPr>
      <w:rFonts w:ascii="Times New Roman" w:eastAsia="Times New Roman" w:hAnsi="Times New Roman" w:cs="Times New Roman"/>
      <w:sz w:val="20"/>
      <w:szCs w:val="20"/>
    </w:rPr>
  </w:style>
  <w:style w:type="character" w:styleId="FootnoteReference">
    <w:name w:val="footnote reference"/>
    <w:uiPriority w:val="99"/>
    <w:semiHidden/>
    <w:unhideWhenUsed/>
    <w:rsid w:val="00B741A8"/>
    <w:rPr>
      <w:vertAlign w:val="superscript"/>
    </w:rPr>
  </w:style>
  <w:style w:type="table" w:styleId="TableGrid">
    <w:name w:val="Table Grid"/>
    <w:basedOn w:val="TableNormal"/>
    <w:uiPriority w:val="39"/>
    <w:rsid w:val="005E0555"/>
    <w:pPr>
      <w:spacing w:after="0" w:line="240" w:lineRule="auto"/>
    </w:pPr>
    <w:rPr>
      <w:rFonts w:eastAsia="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71F51"/>
    <w:rPr>
      <w:color w:val="605E5C"/>
      <w:shd w:val="clear" w:color="auto" w:fill="E1DFDD"/>
    </w:rPr>
  </w:style>
  <w:style w:type="paragraph" w:styleId="Header">
    <w:name w:val="header"/>
    <w:basedOn w:val="Normal"/>
    <w:link w:val="HeaderChar"/>
    <w:uiPriority w:val="99"/>
    <w:unhideWhenUsed/>
    <w:rsid w:val="00E2642C"/>
    <w:pPr>
      <w:tabs>
        <w:tab w:val="center" w:pos="4320"/>
        <w:tab w:val="right" w:pos="8640"/>
      </w:tabs>
      <w:spacing w:after="0" w:line="240" w:lineRule="auto"/>
    </w:pPr>
  </w:style>
  <w:style w:type="character" w:customStyle="1" w:styleId="HeaderChar">
    <w:name w:val="Header Char"/>
    <w:basedOn w:val="DefaultParagraphFont"/>
    <w:link w:val="Header"/>
    <w:uiPriority w:val="99"/>
    <w:rsid w:val="00E2642C"/>
  </w:style>
  <w:style w:type="paragraph" w:styleId="Footer">
    <w:name w:val="footer"/>
    <w:basedOn w:val="Normal"/>
    <w:link w:val="FooterChar"/>
    <w:uiPriority w:val="99"/>
    <w:unhideWhenUsed/>
    <w:rsid w:val="00E2642C"/>
    <w:pPr>
      <w:tabs>
        <w:tab w:val="center" w:pos="4320"/>
        <w:tab w:val="right" w:pos="8640"/>
      </w:tabs>
      <w:spacing w:after="0" w:line="240" w:lineRule="auto"/>
    </w:pPr>
  </w:style>
  <w:style w:type="character" w:customStyle="1" w:styleId="FooterChar">
    <w:name w:val="Footer Char"/>
    <w:basedOn w:val="DefaultParagraphFont"/>
    <w:link w:val="Footer"/>
    <w:uiPriority w:val="99"/>
    <w:rsid w:val="00E26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747944">
      <w:bodyDiv w:val="1"/>
      <w:marLeft w:val="0"/>
      <w:marRight w:val="0"/>
      <w:marTop w:val="0"/>
      <w:marBottom w:val="0"/>
      <w:divBdr>
        <w:top w:val="none" w:sz="0" w:space="0" w:color="auto"/>
        <w:left w:val="none" w:sz="0" w:space="0" w:color="auto"/>
        <w:bottom w:val="none" w:sz="0" w:space="0" w:color="auto"/>
        <w:right w:val="none" w:sz="0" w:space="0" w:color="auto"/>
      </w:divBdr>
    </w:div>
    <w:div w:id="85303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L/TXT/PDF/?uri=CELEX:32019L0879&amp;from=EN" TargetMode="External"/><Relationship Id="rId3" Type="http://schemas.openxmlformats.org/officeDocument/2006/relationships/settings" Target="settings.xml"/><Relationship Id="rId7" Type="http://schemas.openxmlformats.org/officeDocument/2006/relationships/hyperlink" Target="https://ec.europa.eu/info/publications/impact-assessment-package-proposals-further-strengthen-resilience-eu-banks_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evripidou@cssda.gov.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1103</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MOF</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Alexis Koutselinis</cp:lastModifiedBy>
  <cp:revision>4</cp:revision>
  <cp:lastPrinted>2020-02-26T07:00:00Z</cp:lastPrinted>
  <dcterms:created xsi:type="dcterms:W3CDTF">2020-02-26T13:21:00Z</dcterms:created>
  <dcterms:modified xsi:type="dcterms:W3CDTF">2020-02-28T11:44:00Z</dcterms:modified>
</cp:coreProperties>
</file>