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F1938" w14:textId="221F8F65" w:rsidR="006513E9" w:rsidRPr="00A109FA" w:rsidRDefault="006513E9" w:rsidP="00A109FA">
      <w:pPr>
        <w:spacing w:line="360" w:lineRule="auto"/>
        <w:ind w:right="28"/>
        <w:jc w:val="center"/>
        <w:rPr>
          <w:rFonts w:ascii="Arial" w:hAnsi="Arial" w:cs="Arial"/>
          <w:bCs/>
          <w:sz w:val="24"/>
          <w:szCs w:val="24"/>
          <w:lang w:val="el-GR"/>
        </w:rPr>
      </w:pPr>
      <w:r w:rsidRPr="00A109FA">
        <w:rPr>
          <w:rFonts w:ascii="Arial" w:hAnsi="Arial" w:cs="Arial"/>
          <w:bCs/>
          <w:sz w:val="24"/>
          <w:szCs w:val="24"/>
          <w:lang w:val="el-GR"/>
        </w:rPr>
        <w:t>ΝΟΜΟΣΧΕΔΙΟ ΜΕ ΤΙΤΛΟ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09"/>
        <w:gridCol w:w="6528"/>
      </w:tblGrid>
      <w:tr w:rsidR="006513E9" w:rsidRPr="00373680" w14:paraId="69DA495C" w14:textId="77777777" w:rsidTr="005617AB">
        <w:tc>
          <w:tcPr>
            <w:tcW w:w="9080" w:type="dxa"/>
            <w:gridSpan w:val="4"/>
          </w:tcPr>
          <w:p w14:paraId="02574AB9" w14:textId="6F5C6577" w:rsidR="006513E9" w:rsidRPr="00A109FA" w:rsidRDefault="003B5F73" w:rsidP="00A109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ΝΟΜΟΣ ΠΟΥ ΤΡΟΠΟΠΟΙΕΙ Τ</w:t>
            </w:r>
            <w:r w:rsidR="00ED0AE6" w:rsidRPr="00A109FA">
              <w:rPr>
                <w:rFonts w:ascii="Arial" w:hAnsi="Arial" w:cs="Arial"/>
                <w:sz w:val="24"/>
                <w:szCs w:val="24"/>
                <w:lang w:val="el-GR"/>
              </w:rPr>
              <w:t>Ο</w:t>
            </w:r>
            <w:r w:rsidR="00B56DDF"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="001226B5"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ΠΕΡΙ</w:t>
            </w:r>
            <w:r w:rsidR="00641ED7"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C117A8">
              <w:rPr>
                <w:rFonts w:ascii="Arial" w:hAnsi="Arial" w:cs="Arial"/>
                <w:sz w:val="24"/>
                <w:szCs w:val="24"/>
                <w:lang w:val="el-GR"/>
              </w:rPr>
              <w:t xml:space="preserve">ΣΥΜΒΑΣΕΩΝ </w:t>
            </w:r>
            <w:r w:rsidR="00DD140B">
              <w:rPr>
                <w:rFonts w:ascii="Arial" w:hAnsi="Arial" w:cs="Arial"/>
                <w:sz w:val="24"/>
                <w:szCs w:val="24"/>
                <w:lang w:val="el-GR"/>
              </w:rPr>
              <w:t>ΠΙΣΤΩΣΗΣ ΓΙΑ ΚΑΤΑΝΑΛΩΤΕΣ ΣΕ ΣΧΕΣΗ ΜΕ ΑΚΙΝΗΤΑ ΠΟΥ ΠΡΟΟΡΙΖΟΝΤΑΙ ΓΙΑ ΚΑΤΟΙΚΙΑ ΝΟΜΟ</w:t>
            </w:r>
            <w:r w:rsidR="00B56DDF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DD140B">
              <w:rPr>
                <w:rFonts w:ascii="Arial" w:hAnsi="Arial" w:cs="Arial"/>
                <w:sz w:val="24"/>
                <w:szCs w:val="24"/>
                <w:lang w:val="el-GR"/>
              </w:rPr>
              <w:t>Σ ΤΟΥ 2017</w:t>
            </w:r>
            <w:r w:rsidR="00B56DDF">
              <w:rPr>
                <w:rFonts w:ascii="Arial" w:hAnsi="Arial" w:cs="Arial"/>
                <w:sz w:val="24"/>
                <w:szCs w:val="24"/>
                <w:lang w:val="el-GR"/>
              </w:rPr>
              <w:t xml:space="preserve"> ΕΩΣ 2019</w:t>
            </w:r>
          </w:p>
        </w:tc>
      </w:tr>
      <w:tr w:rsidR="006513E9" w:rsidRPr="00373680" w14:paraId="285D400B" w14:textId="77777777" w:rsidTr="005617AB">
        <w:tc>
          <w:tcPr>
            <w:tcW w:w="9080" w:type="dxa"/>
            <w:gridSpan w:val="4"/>
          </w:tcPr>
          <w:p w14:paraId="763D4A6D" w14:textId="77777777" w:rsidR="006513E9" w:rsidRPr="00A109FA" w:rsidRDefault="006513E9" w:rsidP="00A109F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513E9" w:rsidRPr="00373680" w14:paraId="22220DDE" w14:textId="77777777" w:rsidTr="005617AB">
        <w:tc>
          <w:tcPr>
            <w:tcW w:w="1843" w:type="dxa"/>
            <w:gridSpan w:val="2"/>
          </w:tcPr>
          <w:p w14:paraId="1C6EB6FF" w14:textId="77777777" w:rsidR="006513E9" w:rsidRPr="00A109FA" w:rsidRDefault="006513E9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t>Προοίμιο.</w:t>
            </w:r>
          </w:p>
          <w:p w14:paraId="6C11C6B6" w14:textId="77777777" w:rsidR="00EC16B1" w:rsidRPr="00A109FA" w:rsidRDefault="00EC16B1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  <w:p w14:paraId="0E490813" w14:textId="77777777" w:rsidR="006513E9" w:rsidRDefault="006513E9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AF317A">
              <w:rPr>
                <w:rFonts w:ascii="Arial" w:hAnsi="Arial" w:cs="Arial"/>
                <w:lang w:val="el-GR"/>
              </w:rPr>
              <w:t xml:space="preserve">Επίσημη Εφημερίδα της ΕΕ, </w:t>
            </w:r>
            <w:r w:rsidRPr="00AF317A">
              <w:rPr>
                <w:rFonts w:ascii="Arial" w:hAnsi="Arial" w:cs="Arial"/>
              </w:rPr>
              <w:t>L</w:t>
            </w:r>
            <w:r w:rsidRPr="00AF317A">
              <w:rPr>
                <w:rFonts w:ascii="Arial" w:hAnsi="Arial" w:cs="Arial"/>
                <w:lang w:val="el-GR"/>
              </w:rPr>
              <w:t xml:space="preserve"> </w:t>
            </w:r>
            <w:r w:rsidR="00DD140B">
              <w:rPr>
                <w:rFonts w:ascii="Arial" w:hAnsi="Arial" w:cs="Arial"/>
                <w:lang w:val="el-GR"/>
              </w:rPr>
              <w:t>60</w:t>
            </w:r>
            <w:r w:rsidRPr="00AF317A">
              <w:rPr>
                <w:rFonts w:ascii="Arial" w:hAnsi="Arial" w:cs="Arial"/>
                <w:lang w:val="el-GR"/>
              </w:rPr>
              <w:t xml:space="preserve">, </w:t>
            </w:r>
            <w:r w:rsidR="00C117A8">
              <w:rPr>
                <w:rFonts w:ascii="Arial" w:hAnsi="Arial" w:cs="Arial"/>
                <w:lang w:val="el-GR"/>
              </w:rPr>
              <w:t>2</w:t>
            </w:r>
            <w:r w:rsidR="00DD140B">
              <w:rPr>
                <w:rFonts w:ascii="Arial" w:hAnsi="Arial" w:cs="Arial"/>
                <w:lang w:val="el-GR"/>
              </w:rPr>
              <w:t>8</w:t>
            </w:r>
            <w:r w:rsidRPr="00AF317A">
              <w:rPr>
                <w:rFonts w:ascii="Arial" w:hAnsi="Arial" w:cs="Arial"/>
                <w:lang w:val="el-GR"/>
              </w:rPr>
              <w:t>..20</w:t>
            </w:r>
            <w:r w:rsidR="00DD140B">
              <w:rPr>
                <w:rFonts w:ascii="Arial" w:hAnsi="Arial" w:cs="Arial"/>
                <w:lang w:val="el-GR"/>
              </w:rPr>
              <w:t>14</w:t>
            </w:r>
            <w:r w:rsidRPr="00AF317A">
              <w:rPr>
                <w:rFonts w:ascii="Arial" w:hAnsi="Arial" w:cs="Arial"/>
                <w:lang w:val="el-GR"/>
              </w:rPr>
              <w:t>, σ.</w:t>
            </w:r>
            <w:r w:rsidR="00DD140B">
              <w:rPr>
                <w:rFonts w:ascii="Arial" w:hAnsi="Arial" w:cs="Arial"/>
                <w:lang w:val="el-GR"/>
              </w:rPr>
              <w:t>34</w:t>
            </w:r>
            <w:r w:rsidRPr="00AF317A">
              <w:rPr>
                <w:rFonts w:ascii="Arial" w:hAnsi="Arial" w:cs="Arial"/>
                <w:lang w:val="el-GR"/>
              </w:rPr>
              <w:t>∙</w:t>
            </w:r>
          </w:p>
          <w:p w14:paraId="651F11EB" w14:textId="0B6C166E" w:rsidR="001305DF" w:rsidRPr="001305DF" w:rsidRDefault="001305DF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1305DF">
              <w:rPr>
                <w:rFonts w:ascii="Arial" w:hAnsi="Arial" w:cs="Arial"/>
                <w:lang w:val="el-GR"/>
              </w:rPr>
              <w:t>L 171, 29.6.2016, σ.1</w:t>
            </w:r>
          </w:p>
        </w:tc>
        <w:tc>
          <w:tcPr>
            <w:tcW w:w="7237" w:type="dxa"/>
            <w:gridSpan w:val="2"/>
          </w:tcPr>
          <w:p w14:paraId="73FF3F08" w14:textId="64025035" w:rsidR="006513E9" w:rsidRPr="00801A13" w:rsidRDefault="00ED0AE6" w:rsidP="0025437D">
            <w:pPr>
              <w:spacing w:line="360" w:lineRule="auto"/>
              <w:ind w:left="17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Για σκοπούς</w:t>
            </w:r>
            <w:r w:rsidR="003F5C70" w:rsidRPr="003F5C70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258C8">
              <w:rPr>
                <w:rFonts w:ascii="Arial" w:hAnsi="Arial" w:cs="Arial"/>
                <w:sz w:val="24"/>
                <w:szCs w:val="24"/>
                <w:lang w:val="el-GR"/>
              </w:rPr>
              <w:t>εκ νέου</w:t>
            </w:r>
            <w:r w:rsidR="003F5C70">
              <w:rPr>
                <w:rFonts w:ascii="Arial" w:hAnsi="Arial" w:cs="Arial"/>
                <w:sz w:val="24"/>
                <w:szCs w:val="24"/>
                <w:lang w:val="el-GR"/>
              </w:rPr>
              <w:t xml:space="preserve"> εναρμόνισης με </w:t>
            </w:r>
            <w:r w:rsidR="003F5C70" w:rsidRPr="0091458B">
              <w:rPr>
                <w:rFonts w:ascii="Arial" w:hAnsi="Arial" w:cs="Arial"/>
                <w:sz w:val="24"/>
                <w:szCs w:val="24"/>
                <w:lang w:val="el-GR"/>
              </w:rPr>
              <w:t>τ</w:t>
            </w:r>
            <w:r w:rsidR="000A7BFE" w:rsidRPr="0091458B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3F5C70" w:rsidRPr="0091458B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</w:t>
            </w:r>
            <w:r w:rsidR="000A7BFE" w:rsidRPr="0091458B">
              <w:rPr>
                <w:rFonts w:ascii="Arial" w:hAnsi="Arial" w:cs="Arial"/>
                <w:sz w:val="24"/>
                <w:szCs w:val="24"/>
                <w:lang w:val="el-GR"/>
              </w:rPr>
              <w:t>α</w:t>
            </w:r>
            <w:r w:rsidR="003F5C70" w:rsidRPr="0091458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A337F1" w:rsidRPr="0091458B">
              <w:rPr>
                <w:rFonts w:ascii="Arial" w:hAnsi="Arial" w:cs="Arial"/>
                <w:sz w:val="24"/>
                <w:szCs w:val="24"/>
                <w:lang w:val="el-GR"/>
              </w:rPr>
              <w:t>15</w:t>
            </w:r>
            <w:r w:rsidR="00C76F8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A337F1" w:rsidRPr="0091458B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C76F8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A337F1" w:rsidRPr="0091458B">
              <w:rPr>
                <w:rFonts w:ascii="Arial" w:hAnsi="Arial" w:cs="Arial"/>
                <w:sz w:val="24"/>
                <w:szCs w:val="24"/>
                <w:lang w:val="el-GR"/>
              </w:rPr>
              <w:t>στ</w:t>
            </w:r>
            <w:r w:rsidR="00C140FB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3F5C70" w:rsidRPr="0091458B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 xml:space="preserve"> 39</w:t>
            </w:r>
            <w:r w:rsidR="00C76F8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C140FB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  <w:r w:rsidR="003F5C70" w:rsidRPr="0091458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ορθότερης εναρμόνισης με το </w:t>
            </w:r>
            <w:r w:rsidR="00C76F89">
              <w:rPr>
                <w:rFonts w:ascii="Arial" w:hAnsi="Arial" w:cs="Arial"/>
                <w:sz w:val="24"/>
                <w:szCs w:val="24"/>
                <w:lang w:val="el-GR"/>
              </w:rPr>
              <w:t>ά</w:t>
            </w:r>
            <w:r w:rsid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ρθρο </w:t>
            </w:r>
            <w:r w:rsidR="00A337F1" w:rsidRPr="0091458B">
              <w:rPr>
                <w:rFonts w:ascii="Arial" w:hAnsi="Arial" w:cs="Arial"/>
                <w:sz w:val="24"/>
                <w:szCs w:val="24"/>
                <w:lang w:val="el-GR"/>
              </w:rPr>
              <w:t>39</w:t>
            </w:r>
            <w:r w:rsidR="00C76F89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C140FB">
              <w:rPr>
                <w:rFonts w:ascii="Arial" w:hAnsi="Arial" w:cs="Arial"/>
                <w:sz w:val="24"/>
                <w:szCs w:val="24"/>
                <w:lang w:val="el-GR"/>
              </w:rPr>
              <w:t>)</w:t>
            </w:r>
            <w:bookmarkStart w:id="0" w:name="_GoBack"/>
            <w:bookmarkEnd w:id="0"/>
            <w:r w:rsidR="003F5C70" w:rsidRPr="0091458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3F5C70" w:rsidRPr="00801A13">
              <w:rPr>
                <w:rFonts w:ascii="Arial" w:hAnsi="Arial" w:cs="Arial"/>
                <w:sz w:val="24"/>
                <w:szCs w:val="24"/>
                <w:lang w:val="el-GR"/>
              </w:rPr>
              <w:t xml:space="preserve">της </w:t>
            </w:r>
            <w:r w:rsidR="00641ED7" w:rsidRPr="00801A13">
              <w:rPr>
                <w:rFonts w:ascii="Arial" w:hAnsi="Arial" w:cs="Arial"/>
                <w:sz w:val="24"/>
                <w:szCs w:val="24"/>
                <w:lang w:val="el-GR"/>
              </w:rPr>
              <w:t>πράξη</w:t>
            </w:r>
            <w:r w:rsidR="003F5C70" w:rsidRPr="00801A13">
              <w:rPr>
                <w:rFonts w:ascii="Arial" w:hAnsi="Arial" w:cs="Arial"/>
                <w:sz w:val="24"/>
                <w:szCs w:val="24"/>
                <w:lang w:val="el-GR"/>
              </w:rPr>
              <w:t>ς</w:t>
            </w:r>
            <w:r w:rsidR="00641ED7" w:rsidRPr="00801A13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Ευρωπαϊκής Ένωσης με τίτλο </w:t>
            </w:r>
            <w:r w:rsidR="00DD140B" w:rsidRPr="00DD140B">
              <w:rPr>
                <w:rFonts w:ascii="Arial" w:hAnsi="Arial" w:cs="Arial"/>
                <w:sz w:val="24"/>
                <w:szCs w:val="24"/>
                <w:lang w:val="el-GR"/>
              </w:rPr>
              <w:t xml:space="preserve">«Οδηγία 2014/17/ΕΕ του Ευρωπαϊκού Κοινοβουλίου και του Συμβουλίου της 4ης Φεβρουαρίου 2014 σχετικά με τις συμβάσεις πίστωσης για καταναλωτές για ακίνητα που προορίζονται για κατοικία και την τροποποίηση των οδηγιών 2008/48/ΕΚ και 2013/36/ΕΕ και του κανονισμού (ΕΕ) αριθ. </w:t>
            </w:r>
            <w:r w:rsidR="00DD140B" w:rsidRPr="00A337F1">
              <w:rPr>
                <w:rFonts w:ascii="Arial" w:hAnsi="Arial" w:cs="Arial"/>
                <w:sz w:val="24"/>
                <w:szCs w:val="24"/>
                <w:lang w:val="el-GR"/>
              </w:rPr>
              <w:t>1093/2010</w:t>
            </w:r>
            <w:r w:rsidR="001305DF" w:rsidRPr="001305DF">
              <w:rPr>
                <w:lang w:val="el-GR"/>
              </w:rPr>
              <w:t xml:space="preserve"> </w:t>
            </w:r>
            <w:r w:rsidR="001305DF" w:rsidRPr="001305DF">
              <w:rPr>
                <w:rFonts w:ascii="Arial" w:hAnsi="Arial" w:cs="Arial"/>
                <w:sz w:val="24"/>
                <w:szCs w:val="24"/>
                <w:lang w:val="el-GR"/>
              </w:rPr>
              <w:t>ως τροποποιήθηκε τελευταία από τον Κανονισμό (ΕΕ) 2016/1011 του Ευρωπαϊκού Κοινοβουλίου και του Συμβουλίου της 8ης Ιουνίου 2016.</w:t>
            </w:r>
            <w:r w:rsidR="00DD140B" w:rsidRPr="00A337F1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 w:rsidR="00801A13">
              <w:rPr>
                <w:rFonts w:ascii="Arial" w:hAnsi="Arial" w:cs="Arial"/>
                <w:sz w:val="24"/>
                <w:szCs w:val="24"/>
                <w:lang w:val="el-GR"/>
              </w:rPr>
              <w:t>,</w:t>
            </w:r>
          </w:p>
        </w:tc>
      </w:tr>
      <w:tr w:rsidR="001068E0" w:rsidRPr="00373680" w14:paraId="50BD653F" w14:textId="77777777" w:rsidTr="005F4147">
        <w:tc>
          <w:tcPr>
            <w:tcW w:w="1843" w:type="dxa"/>
            <w:gridSpan w:val="2"/>
          </w:tcPr>
          <w:p w14:paraId="0F7AD026" w14:textId="77777777" w:rsidR="001068E0" w:rsidRPr="00A109FA" w:rsidRDefault="001068E0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2EAD7DBC" w14:textId="77777777" w:rsidR="001068E0" w:rsidRPr="00A109FA" w:rsidRDefault="001068E0" w:rsidP="00A109FA">
            <w:pPr>
              <w:spacing w:line="360" w:lineRule="auto"/>
              <w:ind w:left="170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6513E9" w:rsidRPr="00373680" w14:paraId="73336484" w14:textId="77777777" w:rsidTr="005617AB">
        <w:tc>
          <w:tcPr>
            <w:tcW w:w="1843" w:type="dxa"/>
            <w:gridSpan w:val="2"/>
          </w:tcPr>
          <w:p w14:paraId="0CE1F476" w14:textId="77777777" w:rsidR="006513E9" w:rsidRPr="00A109FA" w:rsidRDefault="006513E9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536C0CC9" w14:textId="22ECA57F" w:rsidR="003B5F73" w:rsidRPr="00A109FA" w:rsidRDefault="003B5F73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η</w:t>
            </w:r>
            <w:r w:rsidR="006513E9"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Βουλή των Αντιπροσώπων ψηφίζει ως ακολούθως:</w:t>
            </w:r>
          </w:p>
        </w:tc>
      </w:tr>
      <w:tr w:rsidR="001068E0" w:rsidRPr="00373680" w14:paraId="710E06AF" w14:textId="77777777" w:rsidTr="005617AB">
        <w:tc>
          <w:tcPr>
            <w:tcW w:w="1843" w:type="dxa"/>
            <w:gridSpan w:val="2"/>
          </w:tcPr>
          <w:p w14:paraId="76DE47E7" w14:textId="77777777" w:rsidR="001068E0" w:rsidRPr="00A109FA" w:rsidRDefault="001068E0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48795065" w14:textId="77777777" w:rsidR="001068E0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68E0" w:rsidRPr="00373680" w14:paraId="30A2551E" w14:textId="77777777" w:rsidTr="005617AB">
        <w:tc>
          <w:tcPr>
            <w:tcW w:w="1843" w:type="dxa"/>
            <w:gridSpan w:val="2"/>
          </w:tcPr>
          <w:p w14:paraId="6B780ACC" w14:textId="77777777" w:rsidR="001068E0" w:rsidRPr="00A109FA" w:rsidRDefault="001068E0" w:rsidP="001068E0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t>Συνοπτικός τίτλος.</w:t>
            </w:r>
          </w:p>
          <w:p w14:paraId="77433369" w14:textId="77777777" w:rsidR="001068E0" w:rsidRPr="00DD140B" w:rsidRDefault="001068E0" w:rsidP="001068E0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DD140B">
              <w:rPr>
                <w:rFonts w:ascii="Arial" w:hAnsi="Arial" w:cs="Arial"/>
                <w:lang w:val="el-GR"/>
              </w:rPr>
              <w:t>41(I)/2017</w:t>
            </w:r>
          </w:p>
          <w:p w14:paraId="6818345C" w14:textId="77777777" w:rsidR="001068E0" w:rsidRPr="00DD140B" w:rsidRDefault="001068E0" w:rsidP="001068E0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DD140B">
              <w:rPr>
                <w:rFonts w:ascii="Arial" w:hAnsi="Arial" w:cs="Arial"/>
                <w:lang w:val="el-GR"/>
              </w:rPr>
              <w:t xml:space="preserve">  149(I)/2017</w:t>
            </w:r>
          </w:p>
          <w:p w14:paraId="039D98F3" w14:textId="77777777" w:rsidR="001068E0" w:rsidRPr="00AF6A00" w:rsidRDefault="001068E0" w:rsidP="001068E0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DD140B">
              <w:rPr>
                <w:rFonts w:ascii="Arial" w:hAnsi="Arial" w:cs="Arial"/>
                <w:lang w:val="el-GR"/>
              </w:rPr>
              <w:t xml:space="preserve">  30(I)/2019</w:t>
            </w:r>
          </w:p>
          <w:p w14:paraId="0DC5FF75" w14:textId="77777777" w:rsidR="001068E0" w:rsidRPr="00A109FA" w:rsidRDefault="001068E0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7FE5DED4" w14:textId="2C0E02D9" w:rsidR="001068E0" w:rsidRPr="00A109FA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1. 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Ο παρών Νόμος θα αναφέρεται ως ο περί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Συμβάσεων Πίστωσης για Καταναλωτές σε Σχέση με Ακίνητα που Προορίζονται για Κατοικία 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(Τροποποιητικός) Νόμος 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2020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θα διαβάζεται μαζί με </w:t>
            </w:r>
            <w:bookmarkStart w:id="1" w:name="_Hlk40344737"/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το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περί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Συμβάσεων Πίστωσης για Καταναλωτές σε Σχέση με Ακίνητα που Προορίζονται για Κατοικία 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υς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2017 έως 2019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 </w:t>
            </w:r>
            <w:bookmarkEnd w:id="1"/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(που στο εξής θα αναφέρ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ον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ται ως «ο βασικός νόμος») και ο βασικός νόμος και ο παρών Νόμος θα αναφέρονται μαζί ως οι περί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Συμβάσεων Πίστωσης για Καταναλωτές σε Σχέση με Ακίνητα που Προορίζονται για Κατοικία 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Νόμο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 xml:space="preserve"> του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2017 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έως 20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20</w:t>
            </w:r>
            <w:r w:rsidRPr="00A109FA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</w:tc>
      </w:tr>
      <w:tr w:rsidR="001068E0" w:rsidRPr="00373680" w14:paraId="57C5BF0E" w14:textId="77777777" w:rsidTr="005617AB">
        <w:tc>
          <w:tcPr>
            <w:tcW w:w="1843" w:type="dxa"/>
            <w:gridSpan w:val="2"/>
          </w:tcPr>
          <w:p w14:paraId="0227C064" w14:textId="77777777" w:rsidR="001068E0" w:rsidRDefault="001068E0" w:rsidP="001068E0">
            <w:pPr>
              <w:spacing w:line="360" w:lineRule="auto"/>
              <w:ind w:right="-57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4A0C5FD8" w14:textId="77777777" w:rsidR="001068E0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68E0" w:rsidRPr="00373680" w14:paraId="25215D93" w14:textId="77777777" w:rsidTr="005617AB">
        <w:tc>
          <w:tcPr>
            <w:tcW w:w="1843" w:type="dxa"/>
            <w:gridSpan w:val="2"/>
          </w:tcPr>
          <w:p w14:paraId="4A85B8BF" w14:textId="3C97CDDE" w:rsidR="001068E0" w:rsidRPr="001068E0" w:rsidRDefault="001068E0" w:rsidP="001068E0">
            <w:pPr>
              <w:spacing w:line="360" w:lineRule="auto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t>Τροποποίηση του</w:t>
            </w:r>
            <w:r>
              <w:rPr>
                <w:rFonts w:ascii="Arial" w:hAnsi="Arial" w:cs="Arial"/>
                <w:lang w:val="el-GR"/>
              </w:rPr>
              <w:t xml:space="preserve"> </w:t>
            </w:r>
            <w:r w:rsidRPr="00A109FA">
              <w:rPr>
                <w:rFonts w:ascii="Arial" w:hAnsi="Arial" w:cs="Arial"/>
                <w:lang w:val="el-GR"/>
              </w:rPr>
              <w:t xml:space="preserve">άρθρου </w:t>
            </w:r>
            <w:r>
              <w:rPr>
                <w:rFonts w:ascii="Arial" w:hAnsi="Arial" w:cs="Arial"/>
                <w:lang w:val="el-GR"/>
              </w:rPr>
              <w:t>2</w:t>
            </w:r>
            <w:r w:rsidRPr="00A109FA">
              <w:rPr>
                <w:rFonts w:ascii="Arial" w:hAnsi="Arial" w:cs="Arial"/>
                <w:lang w:val="el-GR"/>
              </w:rPr>
              <w:t xml:space="preserve"> του βασικού νόμου</w:t>
            </w:r>
            <w:r w:rsidRPr="007C452C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237" w:type="dxa"/>
            <w:gridSpan w:val="2"/>
          </w:tcPr>
          <w:p w14:paraId="070D5277" w14:textId="42D16DBE" w:rsidR="001068E0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2. Το εδάφιο (1) του άρθρου 2 του βασικού νόμου τροποποιείται ως ακολούθως</w:t>
            </w:r>
            <w:r w:rsidRPr="00AF6A00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1068E0" w:rsidRPr="00373680" w14:paraId="0E9AC3CB" w14:textId="77777777" w:rsidTr="005617AB">
        <w:tc>
          <w:tcPr>
            <w:tcW w:w="1843" w:type="dxa"/>
            <w:gridSpan w:val="2"/>
          </w:tcPr>
          <w:p w14:paraId="0BBDB798" w14:textId="77777777" w:rsidR="001068E0" w:rsidRDefault="001068E0" w:rsidP="001068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083905A8" w14:textId="0B902DB1" w:rsidR="001068E0" w:rsidRPr="001068E0" w:rsidRDefault="001068E0" w:rsidP="001068E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91458B">
              <w:rPr>
                <w:rFonts w:ascii="Arial" w:hAnsi="Arial" w:cs="Arial"/>
                <w:sz w:val="24"/>
                <w:szCs w:val="24"/>
                <w:lang w:val="el-GR"/>
              </w:rPr>
              <w:t>(α) με τη διαγραφή του όρου «Χρηματοοικονομικός Επίτροπος» και του ορισμού αυτού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και</w:t>
            </w:r>
          </w:p>
        </w:tc>
      </w:tr>
      <w:tr w:rsidR="001068E0" w:rsidRPr="00373680" w14:paraId="32BC7574" w14:textId="77777777" w:rsidTr="005617AB">
        <w:tc>
          <w:tcPr>
            <w:tcW w:w="1843" w:type="dxa"/>
            <w:gridSpan w:val="2"/>
          </w:tcPr>
          <w:p w14:paraId="6B007CF3" w14:textId="77777777" w:rsidR="001068E0" w:rsidRDefault="001068E0" w:rsidP="001068E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0CC66925" w14:textId="77777777" w:rsidR="001068E0" w:rsidRPr="0091458B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68E0" w:rsidRPr="00373680" w14:paraId="34551EAF" w14:textId="77777777" w:rsidTr="000A088E">
        <w:tc>
          <w:tcPr>
            <w:tcW w:w="1843" w:type="dxa"/>
            <w:gridSpan w:val="2"/>
          </w:tcPr>
          <w:p w14:paraId="4AF7419B" w14:textId="68359B64" w:rsidR="001068E0" w:rsidRPr="00B01A1E" w:rsidRDefault="001068E0" w:rsidP="005E4DAB">
            <w:pPr>
              <w:rPr>
                <w:rFonts w:ascii="Arial" w:hAnsi="Arial" w:cs="Arial"/>
                <w:lang w:val="el-GR"/>
              </w:rPr>
            </w:pPr>
          </w:p>
          <w:p w14:paraId="3A0AFC0B" w14:textId="77777777" w:rsidR="001068E0" w:rsidRPr="00B01A1E" w:rsidRDefault="001068E0" w:rsidP="005E4DAB">
            <w:pPr>
              <w:rPr>
                <w:rFonts w:ascii="Arial" w:hAnsi="Arial" w:cs="Arial"/>
                <w:lang w:val="el-GR"/>
              </w:rPr>
            </w:pPr>
          </w:p>
          <w:p w14:paraId="5E840453" w14:textId="06F1CFB8" w:rsidR="001068E0" w:rsidRPr="00A258C8" w:rsidRDefault="001068E0" w:rsidP="001068E0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5E887749" w14:textId="673910E0" w:rsidR="001068E0" w:rsidRPr="00AF6A00" w:rsidRDefault="001068E0" w:rsidP="00956B7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(β) με την προσθήκη, στην κατάλληλη αλφαβητική σειρά, του ακόλουθου νέου όρου και ορισμού του</w:t>
            </w:r>
            <w:r w:rsidRPr="00B01A1E">
              <w:rPr>
                <w:rFonts w:ascii="Arial" w:hAnsi="Arial" w:cs="Arial"/>
                <w:sz w:val="24"/>
                <w:szCs w:val="24"/>
                <w:lang w:val="el-GR"/>
              </w:rPr>
              <w:t>:</w:t>
            </w:r>
          </w:p>
        </w:tc>
      </w:tr>
      <w:tr w:rsidR="001068E0" w:rsidRPr="00373680" w14:paraId="48C20D87" w14:textId="61EF9A2E" w:rsidTr="001068E0">
        <w:tc>
          <w:tcPr>
            <w:tcW w:w="851" w:type="dxa"/>
          </w:tcPr>
          <w:p w14:paraId="40870062" w14:textId="77777777" w:rsidR="001068E0" w:rsidRPr="00A109FA" w:rsidRDefault="001068E0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1701" w:type="dxa"/>
            <w:gridSpan w:val="2"/>
          </w:tcPr>
          <w:p w14:paraId="06548618" w14:textId="77777777" w:rsidR="001068E0" w:rsidRDefault="001068E0" w:rsidP="001068E0">
            <w:pPr>
              <w:spacing w:line="360" w:lineRule="auto"/>
              <w:ind w:right="-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3567D844" w14:textId="77777777" w:rsidR="001068E0" w:rsidRDefault="001068E0" w:rsidP="001068E0">
            <w:pPr>
              <w:spacing w:line="360" w:lineRule="auto"/>
              <w:ind w:right="-57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14E2906D" w14:textId="77777777" w:rsidR="0025437D" w:rsidRDefault="0025437D" w:rsidP="001068E0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</w:p>
          <w:p w14:paraId="0F21EA5D" w14:textId="52CB6F67" w:rsidR="001068E0" w:rsidRPr="00570CE1" w:rsidRDefault="001068E0" w:rsidP="00373680">
            <w:pPr>
              <w:spacing w:line="360" w:lineRule="auto"/>
              <w:ind w:right="-57"/>
              <w:jc w:val="right"/>
              <w:rPr>
                <w:rFonts w:ascii="Arial" w:hAnsi="Arial" w:cs="Arial"/>
                <w:lang w:val="el-GR"/>
              </w:rPr>
            </w:pPr>
            <w:r w:rsidRPr="00570CE1">
              <w:rPr>
                <w:rFonts w:ascii="Arial" w:hAnsi="Arial" w:cs="Arial"/>
                <w:lang w:val="el-GR"/>
              </w:rPr>
              <w:t>8</w:t>
            </w:r>
            <w:r>
              <w:rPr>
                <w:rFonts w:ascii="Arial" w:hAnsi="Arial" w:cs="Arial"/>
                <w:lang w:val="el-GR"/>
              </w:rPr>
              <w:t>5</w:t>
            </w:r>
            <w:r w:rsidRPr="00570CE1">
              <w:rPr>
                <w:rFonts w:ascii="Arial" w:hAnsi="Arial" w:cs="Arial"/>
                <w:lang w:val="el-GR"/>
              </w:rPr>
              <w:t>(Ι) του 2017</w:t>
            </w:r>
          </w:p>
          <w:p w14:paraId="5D9C1AEE" w14:textId="4DEE8CCE" w:rsidR="001068E0" w:rsidRPr="00A109FA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6528" w:type="dxa"/>
          </w:tcPr>
          <w:p w14:paraId="3FFAC7B4" w14:textId="3B949081" w:rsidR="001068E0" w:rsidRPr="00A109FA" w:rsidRDefault="001068E0" w:rsidP="002543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«φορέας Εναλλακτικής Επίλυσης Διαφορών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» ή «φορέας</w:t>
            </w: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Pr="00570CE1">
              <w:rPr>
                <w:rStyle w:val="highlight"/>
                <w:rFonts w:ascii="Arial" w:hAnsi="Arial" w:cs="Arial"/>
                <w:sz w:val="24"/>
                <w:szCs w:val="24"/>
                <w:lang w:val="el-GR"/>
              </w:rPr>
              <w:t>ΕΕΔ</w:t>
            </w:r>
            <w:r w:rsidRPr="00570CE1">
              <w:rPr>
                <w:rFonts w:ascii="Arial" w:hAnsi="Arial" w:cs="Arial"/>
                <w:sz w:val="24"/>
                <w:szCs w:val="24"/>
                <w:lang w:val="el-GR"/>
              </w:rPr>
              <w:t>»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έχει ίδια έννοια </w:t>
            </w:r>
            <w:r w:rsidR="0025437D" w:rsidRP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που αποδίδεται στον όρο αυτό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στο άρθρο 2 του περί της Εναλλακτικής Επίλυσης Καταναλωτικών Διαφορών Νόμου.</w:t>
            </w:r>
          </w:p>
        </w:tc>
      </w:tr>
      <w:tr w:rsidR="001068E0" w:rsidRPr="00373680" w14:paraId="6C1077C4" w14:textId="77777777" w:rsidTr="00FE6932">
        <w:tc>
          <w:tcPr>
            <w:tcW w:w="1843" w:type="dxa"/>
            <w:gridSpan w:val="2"/>
          </w:tcPr>
          <w:p w14:paraId="17BB5059" w14:textId="77777777" w:rsidR="001068E0" w:rsidRPr="00A109FA" w:rsidRDefault="001068E0" w:rsidP="00A109FA">
            <w:pPr>
              <w:spacing w:line="360" w:lineRule="auto"/>
              <w:ind w:right="-57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080612EB" w14:textId="77777777" w:rsidR="001068E0" w:rsidRPr="00A109FA" w:rsidRDefault="001068E0" w:rsidP="001068E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68E0" w:rsidRPr="00373680" w14:paraId="3FAC2B1A" w14:textId="77777777" w:rsidTr="00877E97">
        <w:tc>
          <w:tcPr>
            <w:tcW w:w="1843" w:type="dxa"/>
            <w:gridSpan w:val="2"/>
          </w:tcPr>
          <w:p w14:paraId="578DD18D" w14:textId="2C5E6C3D" w:rsidR="001068E0" w:rsidRPr="007C452C" w:rsidRDefault="001068E0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t xml:space="preserve">Τροποποίηση του άρθρου </w:t>
            </w:r>
            <w:r>
              <w:rPr>
                <w:rFonts w:ascii="Arial" w:hAnsi="Arial" w:cs="Arial"/>
                <w:lang w:val="el-GR"/>
              </w:rPr>
              <w:t>15</w:t>
            </w:r>
            <w:r w:rsidRPr="00A109FA">
              <w:rPr>
                <w:rFonts w:ascii="Arial" w:hAnsi="Arial" w:cs="Arial"/>
                <w:lang w:val="el-GR"/>
              </w:rPr>
              <w:t xml:space="preserve"> του βασικού νόμου</w:t>
            </w:r>
            <w:r w:rsidRPr="007C452C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237" w:type="dxa"/>
            <w:gridSpan w:val="2"/>
          </w:tcPr>
          <w:p w14:paraId="664351F6" w14:textId="20F60059" w:rsidR="001068E0" w:rsidRPr="00DB16AB" w:rsidRDefault="001068E0" w:rsidP="009B14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3. Η παράγραφος (στ) του εδαφίου (1) του</w:t>
            </w:r>
            <w:r w:rsidRPr="00DB16AB">
              <w:rPr>
                <w:rFonts w:ascii="Arial" w:hAnsi="Arial" w:cs="Arial"/>
                <w:sz w:val="24"/>
                <w:szCs w:val="24"/>
                <w:lang w:val="el-GR"/>
              </w:rPr>
              <w:t xml:space="preserve"> άρθρου 15 του βασικού νόμου </w:t>
            </w:r>
            <w:r w:rsidR="009B14EB">
              <w:rPr>
                <w:rFonts w:ascii="Arial" w:hAnsi="Arial" w:cs="Arial"/>
                <w:sz w:val="24"/>
                <w:szCs w:val="24"/>
                <w:lang w:val="el-GR"/>
              </w:rPr>
              <w:t>αντικαθίσταται από την ακόλουθη νέα παράγραφο:</w:t>
            </w:r>
            <w:r w:rsidRPr="00DB16A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9B14EB" w:rsidRPr="00373680" w14:paraId="20F70358" w14:textId="77777777" w:rsidTr="00877E97">
        <w:tc>
          <w:tcPr>
            <w:tcW w:w="1843" w:type="dxa"/>
            <w:gridSpan w:val="2"/>
          </w:tcPr>
          <w:p w14:paraId="2FE9F14A" w14:textId="77777777" w:rsidR="009B14EB" w:rsidRPr="00A109FA" w:rsidRDefault="009B14EB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3CDA6239" w14:textId="59606BAB" w:rsidR="009B14EB" w:rsidRDefault="009B14EB" w:rsidP="009B14E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B16AB">
              <w:rPr>
                <w:rFonts w:ascii="Arial" w:hAnsi="Arial" w:cs="Arial"/>
                <w:sz w:val="24"/>
                <w:szCs w:val="24"/>
                <w:lang w:val="el-GR"/>
              </w:rPr>
              <w:t>«</w:t>
            </w:r>
            <w:r w:rsidRPr="009B14EB">
              <w:rPr>
                <w:rFonts w:ascii="Arial" w:hAnsi="Arial" w:cs="Arial"/>
                <w:sz w:val="24"/>
                <w:szCs w:val="24"/>
                <w:lang w:val="el-GR"/>
              </w:rPr>
              <w:t>τις διαδικασίες που παρέχουν τη δυνατότητα στους καταναλωτές ή άλλα ενδιαφερόμενα μέρη να υποβάλλουν εσωτερικές καταγγελίες για μεσίτες πιστώσεων και, ενδεχομένως, τα μέσα με τα οποία μπορούν να προσφύγουν σε εξωδικαστικές διαδικασίες καταγγελιών και επίλυσης διαφορών,</w:t>
            </w:r>
            <w:r w:rsidRPr="00DB16AB"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  <w:tr w:rsidR="001068E0" w:rsidRPr="00373680" w14:paraId="317228F3" w14:textId="77777777" w:rsidTr="00C41B4F">
        <w:tc>
          <w:tcPr>
            <w:tcW w:w="1843" w:type="dxa"/>
            <w:gridSpan w:val="2"/>
          </w:tcPr>
          <w:p w14:paraId="117DE1DD" w14:textId="77777777" w:rsidR="001068E0" w:rsidRPr="00A109FA" w:rsidRDefault="001068E0" w:rsidP="00A109FA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5193E2D7" w14:textId="77777777" w:rsidR="001068E0" w:rsidRDefault="001068E0" w:rsidP="000E0C5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1068E0" w:rsidRPr="00373680" w14:paraId="264C8A30" w14:textId="77777777" w:rsidTr="00502913">
        <w:tc>
          <w:tcPr>
            <w:tcW w:w="1843" w:type="dxa"/>
            <w:gridSpan w:val="2"/>
          </w:tcPr>
          <w:p w14:paraId="356B6FE9" w14:textId="2BA44278" w:rsidR="001068E0" w:rsidRPr="007C452C" w:rsidRDefault="001068E0" w:rsidP="007E1EE3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  <w:r w:rsidRPr="00A109FA">
              <w:rPr>
                <w:rFonts w:ascii="Arial" w:hAnsi="Arial" w:cs="Arial"/>
                <w:lang w:val="el-GR"/>
              </w:rPr>
              <w:t xml:space="preserve">Τροποποίηση του άρθρου </w:t>
            </w:r>
            <w:r>
              <w:rPr>
                <w:rFonts w:ascii="Arial" w:hAnsi="Arial" w:cs="Arial"/>
                <w:lang w:val="el-GR"/>
              </w:rPr>
              <w:t>50</w:t>
            </w:r>
            <w:r w:rsidRPr="00A109FA">
              <w:rPr>
                <w:rFonts w:ascii="Arial" w:hAnsi="Arial" w:cs="Arial"/>
                <w:lang w:val="el-GR"/>
              </w:rPr>
              <w:t xml:space="preserve"> του βασικού νόμου</w:t>
            </w:r>
            <w:r w:rsidRPr="007C452C">
              <w:rPr>
                <w:rFonts w:ascii="Arial" w:hAnsi="Arial" w:cs="Arial"/>
                <w:lang w:val="el-GR"/>
              </w:rPr>
              <w:t>.</w:t>
            </w:r>
          </w:p>
        </w:tc>
        <w:tc>
          <w:tcPr>
            <w:tcW w:w="7237" w:type="dxa"/>
            <w:gridSpan w:val="2"/>
          </w:tcPr>
          <w:p w14:paraId="53B6C912" w14:textId="02947D70" w:rsidR="001068E0" w:rsidRPr="00DB16AB" w:rsidRDefault="001068E0" w:rsidP="002543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4. </w:t>
            </w:r>
            <w:r w:rsidRPr="00DB16AB">
              <w:rPr>
                <w:rFonts w:ascii="Arial" w:hAnsi="Arial" w:cs="Arial"/>
                <w:sz w:val="24"/>
                <w:szCs w:val="24"/>
                <w:lang w:val="el-GR"/>
              </w:rPr>
              <w:t xml:space="preserve">Το άρθρο 50 του βασικού νόμου </w:t>
            </w:r>
            <w:r w:rsidR="0025437D">
              <w:rPr>
                <w:rFonts w:ascii="Arial" w:hAnsi="Arial" w:cs="Arial"/>
                <w:sz w:val="24"/>
                <w:szCs w:val="24"/>
                <w:lang w:val="el-GR"/>
              </w:rPr>
              <w:t>αντικαθίσταται από το ακόλουθο νέο άρθρο 50:</w:t>
            </w:r>
            <w:r w:rsidR="0025437D" w:rsidRPr="00DB16AB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</w:tr>
      <w:tr w:rsidR="0025437D" w:rsidRPr="00373680" w14:paraId="50A6FA84" w14:textId="77777777" w:rsidTr="00502913">
        <w:tc>
          <w:tcPr>
            <w:tcW w:w="1843" w:type="dxa"/>
            <w:gridSpan w:val="2"/>
          </w:tcPr>
          <w:p w14:paraId="443E3B29" w14:textId="77777777" w:rsidR="0025437D" w:rsidRPr="00A109FA" w:rsidRDefault="0025437D" w:rsidP="007E1EE3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1F6AF602" w14:textId="342DAF83" w:rsidR="002D2FD1" w:rsidRDefault="0025437D" w:rsidP="002543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«50. 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>(</w:t>
            </w:r>
            <w:r w:rsidRPr="0025437D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) Για </w:t>
            </w:r>
            <w:r w:rsidRP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την εξωδικαστική επίλυση διαφορών μεταξύ καταναλωτών 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αφενός </w:t>
            </w:r>
            <w:r w:rsidRPr="0025437D">
              <w:rPr>
                <w:rFonts w:ascii="Arial" w:hAnsi="Arial" w:cs="Arial"/>
                <w:sz w:val="24"/>
                <w:szCs w:val="24"/>
                <w:lang w:val="el-GR"/>
              </w:rPr>
              <w:t>και πιστωτ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>ών ή/και</w:t>
            </w:r>
            <w:r w:rsidRP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 μεσιτών πιστώσεων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 αφετέρου </w:t>
            </w:r>
            <w:r w:rsidRPr="0025437D">
              <w:rPr>
                <w:rFonts w:ascii="Arial" w:hAnsi="Arial" w:cs="Arial"/>
                <w:sz w:val="24"/>
                <w:szCs w:val="24"/>
                <w:lang w:val="el-GR"/>
              </w:rPr>
              <w:t>σχετικά με συμβάσεις πίστωσης</w:t>
            </w:r>
            <w:r w:rsidR="002D2FD1" w:rsidRPr="002D2FD1">
              <w:rPr>
                <w:lang w:val="el-GR"/>
              </w:rPr>
              <w:t xml:space="preserve"> </w:t>
            </w:r>
            <w:r w:rsidR="002D2FD1" w:rsidRPr="002D2FD1">
              <w:rPr>
                <w:rFonts w:ascii="Arial" w:hAnsi="Arial" w:cs="Arial"/>
                <w:sz w:val="24"/>
                <w:szCs w:val="24"/>
                <w:lang w:val="el-GR"/>
              </w:rPr>
              <w:t>οι οποίες εμπίπτουν στο πεδ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>ίο εφαρμογής του παρόντος Νόμου</w:t>
            </w:r>
            <w:r w:rsidRP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, </w:t>
            </w:r>
            <w:r w:rsidR="002D2FD1" w:rsidRP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εφαρμόζονται  οι διατάξεις του περί της Εναλλακτικής Επίλυσης Καταναλωτικών 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>Διαφορών Νόμου.</w:t>
            </w:r>
          </w:p>
          <w:p w14:paraId="22707E38" w14:textId="72A3FB60" w:rsidR="0025437D" w:rsidRDefault="0025437D" w:rsidP="0025437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  <w:tr w:rsidR="002D2FD1" w:rsidRPr="00373680" w14:paraId="7C3065EF" w14:textId="77777777" w:rsidTr="00502913">
        <w:tc>
          <w:tcPr>
            <w:tcW w:w="1843" w:type="dxa"/>
            <w:gridSpan w:val="2"/>
          </w:tcPr>
          <w:p w14:paraId="7A95DE47" w14:textId="77777777" w:rsidR="002D2FD1" w:rsidRDefault="002D2FD1" w:rsidP="007E1EE3">
            <w:pPr>
              <w:spacing w:line="360" w:lineRule="auto"/>
              <w:ind w:right="-57"/>
              <w:rPr>
                <w:rFonts w:ascii="Arial" w:hAnsi="Arial" w:cs="Arial"/>
                <w:lang w:val="el-GR"/>
              </w:rPr>
            </w:pPr>
          </w:p>
        </w:tc>
        <w:tc>
          <w:tcPr>
            <w:tcW w:w="7237" w:type="dxa"/>
            <w:gridSpan w:val="2"/>
          </w:tcPr>
          <w:p w14:paraId="627D4E44" w14:textId="09912F82" w:rsidR="002D2FD1" w:rsidRDefault="00536AD4" w:rsidP="00080C5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(2)</w:t>
            </w:r>
            <w:r w:rsidR="002D2FD1" w:rsidRP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   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Οι αναφερόμενες στο εδάφιο (1) </w:t>
            </w:r>
            <w:r w:rsidR="002D2FD1" w:rsidRPr="002D2FD1">
              <w:rPr>
                <w:rFonts w:ascii="Arial" w:hAnsi="Arial" w:cs="Arial"/>
                <w:sz w:val="24"/>
                <w:szCs w:val="24"/>
                <w:lang w:val="el-GR"/>
              </w:rPr>
              <w:t>διαφορές επιλύονται από φορ</w:t>
            </w:r>
            <w:r w:rsidR="00C76F89">
              <w:rPr>
                <w:rFonts w:ascii="Arial" w:hAnsi="Arial" w:cs="Arial"/>
                <w:sz w:val="24"/>
                <w:szCs w:val="24"/>
                <w:lang w:val="el-GR"/>
              </w:rPr>
              <w:t>είς</w:t>
            </w:r>
            <w:r w:rsidR="002D2FD1" w:rsidRP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 ΕΕΔ ο</w:t>
            </w:r>
            <w:r w:rsidR="00EA55CA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2D2FD1" w:rsidRP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 οποίο</w:t>
            </w:r>
            <w:r w:rsidR="00EA55CA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2D2FD1" w:rsidRP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 είναι καταχωρημένος στον κατάλογο που καταρτίζεται και ενημερώνεται δυνάμει του άρθρου 22 του εν λόγω Νόμου</w:t>
            </w:r>
            <w:r w:rsidR="002D2FD1">
              <w:rPr>
                <w:rFonts w:ascii="Arial" w:hAnsi="Arial" w:cs="Arial"/>
                <w:sz w:val="24"/>
                <w:szCs w:val="24"/>
                <w:lang w:val="el-GR"/>
              </w:rPr>
              <w:t xml:space="preserve"> και οι φορείς ΕΕΔ</w:t>
            </w:r>
            <w:r w:rsidR="002D2FD1" w:rsidRPr="0025437D">
              <w:rPr>
                <w:rFonts w:ascii="Arial" w:hAnsi="Arial" w:cs="Arial"/>
                <w:sz w:val="24"/>
                <w:szCs w:val="24"/>
                <w:lang w:val="el-GR"/>
              </w:rPr>
              <w:t xml:space="preserve"> συνεργάζονται </w:t>
            </w:r>
            <w:r w:rsidR="00080C59" w:rsidRPr="00080C59">
              <w:rPr>
                <w:rFonts w:ascii="Arial" w:hAnsi="Arial" w:cs="Arial"/>
                <w:sz w:val="24"/>
                <w:szCs w:val="24"/>
                <w:lang w:val="el-GR"/>
              </w:rPr>
              <w:t xml:space="preserve">με τους φορείς άλλων κρατών μελών, οι οποίοι προβλέπονται στο Άρθρο 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39</w:t>
            </w:r>
            <w:r w:rsidR="00080C59" w:rsidRPr="00080C59">
              <w:rPr>
                <w:rFonts w:ascii="Arial" w:hAnsi="Arial" w:cs="Arial"/>
                <w:sz w:val="24"/>
                <w:szCs w:val="24"/>
                <w:lang w:val="el-GR"/>
              </w:rPr>
              <w:t xml:space="preserve">, παράγραφος 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080C59" w:rsidRPr="00080C59">
              <w:rPr>
                <w:rFonts w:ascii="Arial" w:hAnsi="Arial" w:cs="Arial"/>
                <w:sz w:val="24"/>
                <w:szCs w:val="24"/>
                <w:lang w:val="el-GR"/>
              </w:rPr>
              <w:t xml:space="preserve"> της Οδηγίας (ΕΕ) 201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4</w:t>
            </w:r>
            <w:r w:rsidR="00080C59" w:rsidRPr="00080C59">
              <w:rPr>
                <w:rFonts w:ascii="Arial" w:hAnsi="Arial" w:cs="Arial"/>
                <w:sz w:val="24"/>
                <w:szCs w:val="24"/>
                <w:lang w:val="el-GR"/>
              </w:rPr>
              <w:t>/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080C59" w:rsidRPr="00080C59">
              <w:rPr>
                <w:rFonts w:ascii="Arial" w:hAnsi="Arial" w:cs="Arial"/>
                <w:sz w:val="24"/>
                <w:szCs w:val="24"/>
                <w:lang w:val="el-GR"/>
              </w:rPr>
              <w:t xml:space="preserve">7 </w:t>
            </w:r>
            <w:r w:rsidR="002D2FD1" w:rsidRPr="0025437D">
              <w:rPr>
                <w:rFonts w:ascii="Arial" w:hAnsi="Arial" w:cs="Arial"/>
                <w:sz w:val="24"/>
                <w:szCs w:val="24"/>
                <w:lang w:val="el-GR"/>
              </w:rPr>
              <w:t>μεταξύ τους προκειμένου να καθίσταται δυνατή η επίλυση διασυνοριακών διαφορών που αφορούν συμβάσεις πίστωσης.</w:t>
            </w:r>
            <w:r w:rsidR="00080C59">
              <w:rPr>
                <w:rFonts w:ascii="Arial" w:hAnsi="Arial" w:cs="Arial"/>
                <w:sz w:val="24"/>
                <w:szCs w:val="24"/>
                <w:lang w:val="el-GR"/>
              </w:rPr>
              <w:t>».</w:t>
            </w:r>
          </w:p>
        </w:tc>
      </w:tr>
    </w:tbl>
    <w:p w14:paraId="203C0005" w14:textId="15439A4D" w:rsidR="00BD590C" w:rsidRPr="00A109FA" w:rsidRDefault="00BD590C" w:rsidP="00373680">
      <w:pPr>
        <w:spacing w:line="360" w:lineRule="auto"/>
        <w:rPr>
          <w:rFonts w:ascii="Arial" w:hAnsi="Arial" w:cs="Arial"/>
          <w:sz w:val="24"/>
          <w:szCs w:val="24"/>
          <w:lang w:val="el-GR"/>
        </w:rPr>
      </w:pPr>
    </w:p>
    <w:sectPr w:rsidR="00BD590C" w:rsidRPr="00A109FA" w:rsidSect="009A648F">
      <w:headerReference w:type="default" r:id="rId7"/>
      <w:pgSz w:w="11906" w:h="16838"/>
      <w:pgMar w:top="1440" w:right="1440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5967" w14:textId="77777777" w:rsidR="00980C30" w:rsidRDefault="00980C30" w:rsidP="00B0706B">
      <w:r>
        <w:separator/>
      </w:r>
    </w:p>
  </w:endnote>
  <w:endnote w:type="continuationSeparator" w:id="0">
    <w:p w14:paraId="7D9BE50D" w14:textId="77777777" w:rsidR="00980C30" w:rsidRDefault="00980C30" w:rsidP="00B0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3966F" w14:textId="77777777" w:rsidR="00980C30" w:rsidRDefault="00980C30" w:rsidP="00B0706B">
      <w:r>
        <w:separator/>
      </w:r>
    </w:p>
  </w:footnote>
  <w:footnote w:type="continuationSeparator" w:id="0">
    <w:p w14:paraId="5C715383" w14:textId="77777777" w:rsidR="00980C30" w:rsidRDefault="00980C30" w:rsidP="00B0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21FDD" w14:textId="3DD35A21" w:rsidR="00B0706B" w:rsidRPr="00B0706B" w:rsidRDefault="00B0706B" w:rsidP="00B0706B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A78B1"/>
    <w:multiLevelType w:val="multilevel"/>
    <w:tmpl w:val="E6B4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07333"/>
    <w:multiLevelType w:val="multilevel"/>
    <w:tmpl w:val="9CAC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73AB1"/>
    <w:multiLevelType w:val="multilevel"/>
    <w:tmpl w:val="A47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B84"/>
    <w:rsid w:val="00027D4B"/>
    <w:rsid w:val="0003237D"/>
    <w:rsid w:val="00040359"/>
    <w:rsid w:val="00080C59"/>
    <w:rsid w:val="000955AD"/>
    <w:rsid w:val="000A7BFE"/>
    <w:rsid w:val="000E0C57"/>
    <w:rsid w:val="000F4546"/>
    <w:rsid w:val="001068E0"/>
    <w:rsid w:val="001226B5"/>
    <w:rsid w:val="001305DF"/>
    <w:rsid w:val="00131DCE"/>
    <w:rsid w:val="00137BBE"/>
    <w:rsid w:val="00163F83"/>
    <w:rsid w:val="00172672"/>
    <w:rsid w:val="00184ADC"/>
    <w:rsid w:val="001E2E70"/>
    <w:rsid w:val="001E4402"/>
    <w:rsid w:val="00225B91"/>
    <w:rsid w:val="0023532B"/>
    <w:rsid w:val="002460B0"/>
    <w:rsid w:val="0025437D"/>
    <w:rsid w:val="00281917"/>
    <w:rsid w:val="002C20FC"/>
    <w:rsid w:val="002D2FD1"/>
    <w:rsid w:val="00301590"/>
    <w:rsid w:val="00301E2D"/>
    <w:rsid w:val="003116B4"/>
    <w:rsid w:val="0034091B"/>
    <w:rsid w:val="00364921"/>
    <w:rsid w:val="0037192B"/>
    <w:rsid w:val="00373680"/>
    <w:rsid w:val="003B1092"/>
    <w:rsid w:val="003B5F73"/>
    <w:rsid w:val="003E6C96"/>
    <w:rsid w:val="003F5C70"/>
    <w:rsid w:val="00414F9A"/>
    <w:rsid w:val="00416764"/>
    <w:rsid w:val="004206DE"/>
    <w:rsid w:val="00436E6F"/>
    <w:rsid w:val="00463D5E"/>
    <w:rsid w:val="00485931"/>
    <w:rsid w:val="004B2A56"/>
    <w:rsid w:val="00526DBF"/>
    <w:rsid w:val="00532C43"/>
    <w:rsid w:val="00536AD4"/>
    <w:rsid w:val="00537F8E"/>
    <w:rsid w:val="00547FF2"/>
    <w:rsid w:val="005617AB"/>
    <w:rsid w:val="005659DC"/>
    <w:rsid w:val="005725AE"/>
    <w:rsid w:val="005C520A"/>
    <w:rsid w:val="005E4DAB"/>
    <w:rsid w:val="00624211"/>
    <w:rsid w:val="00641ED7"/>
    <w:rsid w:val="006513E9"/>
    <w:rsid w:val="0067676D"/>
    <w:rsid w:val="00693CFA"/>
    <w:rsid w:val="006A5A92"/>
    <w:rsid w:val="007750CA"/>
    <w:rsid w:val="00796A58"/>
    <w:rsid w:val="007A1CE0"/>
    <w:rsid w:val="007B4C7A"/>
    <w:rsid w:val="007C452C"/>
    <w:rsid w:val="007D3CA1"/>
    <w:rsid w:val="00801A13"/>
    <w:rsid w:val="00810070"/>
    <w:rsid w:val="0087298D"/>
    <w:rsid w:val="008B0B76"/>
    <w:rsid w:val="008B2E5C"/>
    <w:rsid w:val="008F13A2"/>
    <w:rsid w:val="008F7246"/>
    <w:rsid w:val="0091458B"/>
    <w:rsid w:val="00956B7F"/>
    <w:rsid w:val="0097415F"/>
    <w:rsid w:val="00980C30"/>
    <w:rsid w:val="009A648F"/>
    <w:rsid w:val="009B14EB"/>
    <w:rsid w:val="009D144E"/>
    <w:rsid w:val="00A109FA"/>
    <w:rsid w:val="00A258C8"/>
    <w:rsid w:val="00A337F1"/>
    <w:rsid w:val="00A62BDE"/>
    <w:rsid w:val="00A70995"/>
    <w:rsid w:val="00A74589"/>
    <w:rsid w:val="00A81BC9"/>
    <w:rsid w:val="00A8408C"/>
    <w:rsid w:val="00A8787F"/>
    <w:rsid w:val="00AF317A"/>
    <w:rsid w:val="00AF6A00"/>
    <w:rsid w:val="00B01A1E"/>
    <w:rsid w:val="00B029BA"/>
    <w:rsid w:val="00B042A5"/>
    <w:rsid w:val="00B0706B"/>
    <w:rsid w:val="00B21C62"/>
    <w:rsid w:val="00B56DDF"/>
    <w:rsid w:val="00B82190"/>
    <w:rsid w:val="00B910D1"/>
    <w:rsid w:val="00BA602D"/>
    <w:rsid w:val="00BC640F"/>
    <w:rsid w:val="00BD590C"/>
    <w:rsid w:val="00C117A8"/>
    <w:rsid w:val="00C140FB"/>
    <w:rsid w:val="00C33D66"/>
    <w:rsid w:val="00C76F89"/>
    <w:rsid w:val="00CA6683"/>
    <w:rsid w:val="00CC18E8"/>
    <w:rsid w:val="00CD4A37"/>
    <w:rsid w:val="00CE57C7"/>
    <w:rsid w:val="00D07874"/>
    <w:rsid w:val="00D1273F"/>
    <w:rsid w:val="00D457EB"/>
    <w:rsid w:val="00D5650D"/>
    <w:rsid w:val="00D90B84"/>
    <w:rsid w:val="00DB16AB"/>
    <w:rsid w:val="00DD140B"/>
    <w:rsid w:val="00EA2ADF"/>
    <w:rsid w:val="00EA55CA"/>
    <w:rsid w:val="00EA6486"/>
    <w:rsid w:val="00EA7D12"/>
    <w:rsid w:val="00EC16B1"/>
    <w:rsid w:val="00ED0AE6"/>
    <w:rsid w:val="00ED0FB6"/>
    <w:rsid w:val="00F55654"/>
    <w:rsid w:val="00F81223"/>
    <w:rsid w:val="00F937AB"/>
    <w:rsid w:val="00FA26C3"/>
    <w:rsid w:val="00FD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AEC9"/>
  <w15:chartTrackingRefBased/>
  <w15:docId w15:val="{ABC3DCB2-29E3-476F-ACF2-54B34BAD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3E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B01A1E"/>
  </w:style>
  <w:style w:type="paragraph" w:styleId="Header">
    <w:name w:val="header"/>
    <w:basedOn w:val="Normal"/>
    <w:link w:val="HeaderChar"/>
    <w:uiPriority w:val="99"/>
    <w:unhideWhenUsed/>
    <w:rsid w:val="00B07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0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7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06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3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7D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 Siakallis</dc:creator>
  <cp:keywords/>
  <dc:description/>
  <cp:lastModifiedBy>Pavlos Siakallis</cp:lastModifiedBy>
  <cp:revision>65</cp:revision>
  <cp:lastPrinted>2020-02-19T12:15:00Z</cp:lastPrinted>
  <dcterms:created xsi:type="dcterms:W3CDTF">2019-02-22T10:07:00Z</dcterms:created>
  <dcterms:modified xsi:type="dcterms:W3CDTF">2020-06-11T08:07:00Z</dcterms:modified>
</cp:coreProperties>
</file>