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F1938" w14:textId="74876A71" w:rsidR="006513E9" w:rsidRPr="00570CE1" w:rsidRDefault="006513E9" w:rsidP="00A109FA">
      <w:pPr>
        <w:spacing w:line="360" w:lineRule="auto"/>
        <w:ind w:right="28"/>
        <w:jc w:val="center"/>
        <w:rPr>
          <w:rFonts w:ascii="Arial" w:hAnsi="Arial" w:cs="Arial"/>
          <w:bCs/>
          <w:sz w:val="24"/>
          <w:szCs w:val="24"/>
          <w:lang w:val="el-GR"/>
        </w:rPr>
      </w:pPr>
      <w:r w:rsidRPr="00570CE1">
        <w:rPr>
          <w:rFonts w:ascii="Arial" w:hAnsi="Arial" w:cs="Arial"/>
          <w:bCs/>
          <w:sz w:val="24"/>
          <w:szCs w:val="24"/>
          <w:lang w:val="el-GR"/>
        </w:rPr>
        <w:t>ΝΟΜΟΣΧΕΔΙΟ ΜΕ ΤΙΤΛΟ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6812"/>
      </w:tblGrid>
      <w:tr w:rsidR="006513E9" w:rsidRPr="00B24DAB" w14:paraId="69DA495C" w14:textId="77777777" w:rsidTr="00AD576E">
        <w:tc>
          <w:tcPr>
            <w:tcW w:w="9080" w:type="dxa"/>
            <w:gridSpan w:val="3"/>
          </w:tcPr>
          <w:p w14:paraId="02574AB9" w14:textId="065D5AD9" w:rsidR="006513E9" w:rsidRPr="00570CE1" w:rsidRDefault="003B5F73" w:rsidP="00A109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70CE1">
              <w:rPr>
                <w:rFonts w:ascii="Arial" w:hAnsi="Arial" w:cs="Arial"/>
                <w:sz w:val="24"/>
                <w:szCs w:val="24"/>
                <w:lang w:val="el-GR"/>
              </w:rPr>
              <w:t>ΝΟΜΟΣ ΠΟΥ ΤΡΟΠΟΠΟΙΕΙ Τ</w:t>
            </w:r>
            <w:r w:rsidR="00B562B4">
              <w:rPr>
                <w:rFonts w:ascii="Arial" w:hAnsi="Arial" w:cs="Arial"/>
                <w:sz w:val="24"/>
                <w:szCs w:val="24"/>
                <w:lang w:val="el-GR"/>
              </w:rPr>
              <w:t>ΟΥΣ</w:t>
            </w:r>
            <w:r w:rsidR="001226B5" w:rsidRPr="00570CE1">
              <w:rPr>
                <w:rFonts w:ascii="Arial" w:hAnsi="Arial" w:cs="Arial"/>
                <w:sz w:val="24"/>
                <w:szCs w:val="24"/>
                <w:lang w:val="el-GR"/>
              </w:rPr>
              <w:t xml:space="preserve"> ΠΕΡΙ</w:t>
            </w:r>
            <w:r w:rsidR="00641ED7" w:rsidRPr="00570CE1">
              <w:rPr>
                <w:rFonts w:ascii="Arial" w:hAnsi="Arial" w:cs="Arial"/>
                <w:sz w:val="24"/>
                <w:szCs w:val="24"/>
                <w:lang w:val="el-GR"/>
              </w:rPr>
              <w:t xml:space="preserve"> ΕΠΕΝΔΥΤΙΚΩΝ ΥΠΗΡΕΣΙΩΝ ΚΑΙ ΔΡΑΣΤΗΡΙΟΤΗΤΩΝ ΚΑΙ ΡΥΘΜΙΖΟΜΕΝΩΝ ΑΓΟΡΩΝ</w:t>
            </w:r>
            <w:r w:rsidR="00ED0AE6" w:rsidRPr="00570CE1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641ED7" w:rsidRPr="00570CE1">
              <w:rPr>
                <w:rFonts w:ascii="Arial" w:hAnsi="Arial" w:cs="Arial"/>
                <w:sz w:val="24"/>
                <w:szCs w:val="24"/>
                <w:lang w:val="el-GR"/>
              </w:rPr>
              <w:t>ΝΟΜΟ</w:t>
            </w:r>
            <w:r w:rsidR="00B562B4">
              <w:rPr>
                <w:rFonts w:ascii="Arial" w:hAnsi="Arial" w:cs="Arial"/>
                <w:sz w:val="24"/>
                <w:szCs w:val="24"/>
                <w:lang w:val="el-GR"/>
              </w:rPr>
              <w:t>ΥΣ</w:t>
            </w:r>
            <w:r w:rsidR="00641ED7" w:rsidRPr="00570CE1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201</w:t>
            </w:r>
            <w:r w:rsidRPr="00570CE1"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  <w:r w:rsidR="006513E9" w:rsidRPr="00570CE1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B562B4">
              <w:rPr>
                <w:rFonts w:ascii="Arial" w:hAnsi="Arial" w:cs="Arial"/>
                <w:sz w:val="24"/>
                <w:szCs w:val="24"/>
                <w:lang w:val="el-GR"/>
              </w:rPr>
              <w:t>ΚΑΙ 2020</w:t>
            </w:r>
          </w:p>
        </w:tc>
      </w:tr>
      <w:tr w:rsidR="006513E9" w:rsidRPr="00B24DAB" w14:paraId="285D400B" w14:textId="77777777" w:rsidTr="00AD576E">
        <w:tc>
          <w:tcPr>
            <w:tcW w:w="9080" w:type="dxa"/>
            <w:gridSpan w:val="3"/>
          </w:tcPr>
          <w:p w14:paraId="763D4A6D" w14:textId="77777777" w:rsidR="006513E9" w:rsidRPr="00570CE1" w:rsidRDefault="006513E9" w:rsidP="00A109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513E9" w:rsidRPr="00B24DAB" w14:paraId="22220DDE" w14:textId="77777777" w:rsidTr="00AD576E">
        <w:tc>
          <w:tcPr>
            <w:tcW w:w="1843" w:type="dxa"/>
          </w:tcPr>
          <w:p w14:paraId="1C6EB6FF" w14:textId="77777777" w:rsidR="006513E9" w:rsidRPr="00570CE1" w:rsidRDefault="006513E9" w:rsidP="00A109FA">
            <w:pPr>
              <w:spacing w:line="360" w:lineRule="auto"/>
              <w:ind w:right="-57"/>
              <w:jc w:val="both"/>
              <w:rPr>
                <w:rFonts w:ascii="Arial" w:hAnsi="Arial" w:cs="Arial"/>
                <w:lang w:val="el-GR"/>
              </w:rPr>
            </w:pPr>
            <w:r w:rsidRPr="00570CE1">
              <w:rPr>
                <w:rFonts w:ascii="Arial" w:hAnsi="Arial" w:cs="Arial"/>
                <w:lang w:val="el-GR"/>
              </w:rPr>
              <w:t>Προοίμιο.</w:t>
            </w:r>
          </w:p>
          <w:p w14:paraId="6C11C6B6" w14:textId="77777777" w:rsidR="00EC16B1" w:rsidRPr="00570CE1" w:rsidRDefault="00EC16B1" w:rsidP="00A109FA">
            <w:pPr>
              <w:spacing w:line="360" w:lineRule="auto"/>
              <w:ind w:right="-57"/>
              <w:rPr>
                <w:rFonts w:ascii="Arial" w:hAnsi="Arial" w:cs="Arial"/>
                <w:lang w:val="el-GR"/>
              </w:rPr>
            </w:pPr>
          </w:p>
          <w:p w14:paraId="3423C744" w14:textId="4EA9F906" w:rsidR="006513E9" w:rsidRDefault="006513E9" w:rsidP="00A109FA">
            <w:pPr>
              <w:spacing w:line="360" w:lineRule="auto"/>
              <w:ind w:right="-57"/>
              <w:rPr>
                <w:rFonts w:ascii="Arial" w:hAnsi="Arial" w:cs="Arial"/>
                <w:lang w:val="el-GR"/>
              </w:rPr>
            </w:pPr>
            <w:r w:rsidRPr="00570CE1">
              <w:rPr>
                <w:rFonts w:ascii="Arial" w:hAnsi="Arial" w:cs="Arial"/>
                <w:lang w:val="el-GR"/>
              </w:rPr>
              <w:t xml:space="preserve">Επίσημη Εφημερίδα της ΕΕ, </w:t>
            </w:r>
            <w:r w:rsidRPr="00570CE1">
              <w:rPr>
                <w:rFonts w:ascii="Arial" w:hAnsi="Arial" w:cs="Arial"/>
              </w:rPr>
              <w:t>L</w:t>
            </w:r>
            <w:r w:rsidRPr="00570CE1">
              <w:rPr>
                <w:rFonts w:ascii="Arial" w:hAnsi="Arial" w:cs="Arial"/>
                <w:lang w:val="el-GR"/>
              </w:rPr>
              <w:t xml:space="preserve"> </w:t>
            </w:r>
            <w:r w:rsidR="004206DE" w:rsidRPr="00570CE1">
              <w:rPr>
                <w:rFonts w:ascii="Arial" w:hAnsi="Arial" w:cs="Arial"/>
                <w:lang w:val="el-GR"/>
              </w:rPr>
              <w:t>173</w:t>
            </w:r>
            <w:r w:rsidRPr="00570CE1">
              <w:rPr>
                <w:rFonts w:ascii="Arial" w:hAnsi="Arial" w:cs="Arial"/>
                <w:lang w:val="el-GR"/>
              </w:rPr>
              <w:t>, 1</w:t>
            </w:r>
            <w:r w:rsidR="004206DE" w:rsidRPr="00570CE1">
              <w:rPr>
                <w:rFonts w:ascii="Arial" w:hAnsi="Arial" w:cs="Arial"/>
                <w:lang w:val="el-GR"/>
              </w:rPr>
              <w:t>2</w:t>
            </w:r>
            <w:r w:rsidRPr="00570CE1">
              <w:rPr>
                <w:rFonts w:ascii="Arial" w:hAnsi="Arial" w:cs="Arial"/>
                <w:lang w:val="el-GR"/>
              </w:rPr>
              <w:t>.</w:t>
            </w:r>
            <w:r w:rsidR="004206DE" w:rsidRPr="00570CE1">
              <w:rPr>
                <w:rFonts w:ascii="Arial" w:hAnsi="Arial" w:cs="Arial"/>
                <w:lang w:val="el-GR"/>
              </w:rPr>
              <w:t>6</w:t>
            </w:r>
            <w:r w:rsidRPr="00570CE1">
              <w:rPr>
                <w:rFonts w:ascii="Arial" w:hAnsi="Arial" w:cs="Arial"/>
                <w:lang w:val="el-GR"/>
              </w:rPr>
              <w:t>.20</w:t>
            </w:r>
            <w:r w:rsidR="004206DE" w:rsidRPr="00570CE1">
              <w:rPr>
                <w:rFonts w:ascii="Arial" w:hAnsi="Arial" w:cs="Arial"/>
                <w:lang w:val="el-GR"/>
              </w:rPr>
              <w:t>14</w:t>
            </w:r>
            <w:r w:rsidRPr="00570CE1">
              <w:rPr>
                <w:rFonts w:ascii="Arial" w:hAnsi="Arial" w:cs="Arial"/>
                <w:lang w:val="el-GR"/>
              </w:rPr>
              <w:t>, σ.</w:t>
            </w:r>
            <w:r w:rsidR="003F5C70" w:rsidRPr="00570CE1">
              <w:rPr>
                <w:rFonts w:ascii="Arial" w:hAnsi="Arial" w:cs="Arial"/>
                <w:lang w:val="el-GR"/>
              </w:rPr>
              <w:t>349</w:t>
            </w:r>
            <w:r w:rsidRPr="00570CE1">
              <w:rPr>
                <w:rFonts w:ascii="Arial" w:hAnsi="Arial" w:cs="Arial"/>
                <w:lang w:val="el-GR"/>
              </w:rPr>
              <w:t>∙</w:t>
            </w:r>
          </w:p>
          <w:p w14:paraId="651F11EB" w14:textId="23C869DF" w:rsidR="00B5368D" w:rsidRPr="00570CE1" w:rsidRDefault="00B5368D" w:rsidP="00A109FA">
            <w:pPr>
              <w:spacing w:line="360" w:lineRule="auto"/>
              <w:ind w:right="-57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70CE1">
              <w:rPr>
                <w:rFonts w:ascii="Arial" w:hAnsi="Arial" w:cs="Arial"/>
              </w:rPr>
              <w:t>L</w:t>
            </w:r>
            <w:r w:rsidRPr="00570CE1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334</w:t>
            </w:r>
            <w:r w:rsidRPr="00570CE1">
              <w:rPr>
                <w:rFonts w:ascii="Arial" w:hAnsi="Arial" w:cs="Arial"/>
                <w:lang w:val="el-GR"/>
              </w:rPr>
              <w:t xml:space="preserve">, </w:t>
            </w:r>
            <w:r>
              <w:rPr>
                <w:rFonts w:ascii="Arial" w:hAnsi="Arial" w:cs="Arial"/>
                <w:lang w:val="el-GR"/>
              </w:rPr>
              <w:t>27</w:t>
            </w:r>
            <w:r w:rsidRPr="00570CE1">
              <w:rPr>
                <w:rFonts w:ascii="Arial" w:hAnsi="Arial" w:cs="Arial"/>
                <w:lang w:val="el-GR"/>
              </w:rPr>
              <w:t>.</w:t>
            </w:r>
            <w:r>
              <w:rPr>
                <w:rFonts w:ascii="Arial" w:hAnsi="Arial" w:cs="Arial"/>
                <w:lang w:val="el-GR"/>
              </w:rPr>
              <w:t>12</w:t>
            </w:r>
            <w:r w:rsidRPr="00570CE1">
              <w:rPr>
                <w:rFonts w:ascii="Arial" w:hAnsi="Arial" w:cs="Arial"/>
                <w:lang w:val="el-GR"/>
              </w:rPr>
              <w:t>.201</w:t>
            </w:r>
            <w:r>
              <w:rPr>
                <w:rFonts w:ascii="Arial" w:hAnsi="Arial" w:cs="Arial"/>
                <w:lang w:val="el-GR"/>
              </w:rPr>
              <w:t>9</w:t>
            </w:r>
            <w:r w:rsidRPr="00570CE1">
              <w:rPr>
                <w:rFonts w:ascii="Arial" w:hAnsi="Arial" w:cs="Arial"/>
                <w:lang w:val="el-GR"/>
              </w:rPr>
              <w:t>, σ.</w:t>
            </w:r>
            <w:r>
              <w:rPr>
                <w:rFonts w:ascii="Arial" w:hAnsi="Arial" w:cs="Arial"/>
                <w:lang w:val="el-GR"/>
              </w:rPr>
              <w:t>155</w:t>
            </w:r>
            <w:r w:rsidRPr="00570CE1">
              <w:rPr>
                <w:rFonts w:ascii="Arial" w:hAnsi="Arial" w:cs="Arial"/>
                <w:lang w:val="el-GR"/>
              </w:rPr>
              <w:t>∙</w:t>
            </w:r>
          </w:p>
        </w:tc>
        <w:tc>
          <w:tcPr>
            <w:tcW w:w="7237" w:type="dxa"/>
            <w:gridSpan w:val="2"/>
          </w:tcPr>
          <w:p w14:paraId="73FF3F08" w14:textId="74FD790D" w:rsidR="006513E9" w:rsidRPr="00737A52" w:rsidRDefault="00ED0AE6" w:rsidP="00064F0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70CE1">
              <w:rPr>
                <w:rFonts w:ascii="Arial" w:hAnsi="Arial" w:cs="Arial"/>
                <w:sz w:val="24"/>
                <w:szCs w:val="24"/>
                <w:lang w:val="el-GR"/>
              </w:rPr>
              <w:t>Για σκοπούς</w:t>
            </w:r>
            <w:r w:rsidR="00D436E3">
              <w:rPr>
                <w:rFonts w:ascii="Arial" w:hAnsi="Arial" w:cs="Arial"/>
                <w:sz w:val="24"/>
                <w:szCs w:val="24"/>
                <w:lang w:val="el-GR"/>
              </w:rPr>
              <w:t xml:space="preserve"> εκ νέου</w:t>
            </w:r>
            <w:r w:rsidR="003F5C70" w:rsidRPr="00570CE1">
              <w:rPr>
                <w:rFonts w:ascii="Arial" w:hAnsi="Arial" w:cs="Arial"/>
                <w:sz w:val="24"/>
                <w:szCs w:val="24"/>
                <w:lang w:val="el-GR"/>
              </w:rPr>
              <w:t xml:space="preserve"> εναρμόνισης με τ</w:t>
            </w:r>
            <w:r w:rsidR="006D5484" w:rsidRPr="00570CE1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="003F5C70" w:rsidRPr="00570CE1">
              <w:rPr>
                <w:rFonts w:ascii="Arial" w:hAnsi="Arial" w:cs="Arial"/>
                <w:sz w:val="24"/>
                <w:szCs w:val="24"/>
                <w:lang w:val="el-GR"/>
              </w:rPr>
              <w:t xml:space="preserve"> άρθρ</w:t>
            </w:r>
            <w:r w:rsidR="006D5484" w:rsidRPr="00570CE1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="003F5C70" w:rsidRPr="00570CE1">
              <w:rPr>
                <w:rFonts w:ascii="Arial" w:hAnsi="Arial" w:cs="Arial"/>
                <w:sz w:val="24"/>
                <w:szCs w:val="24"/>
                <w:lang w:val="el-GR"/>
              </w:rPr>
              <w:t xml:space="preserve"> 75 και 81</w:t>
            </w:r>
            <w:r w:rsidR="00D12E34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064F0E">
              <w:rPr>
                <w:rFonts w:ascii="Arial" w:hAnsi="Arial" w:cs="Arial"/>
                <w:sz w:val="24"/>
                <w:szCs w:val="24"/>
                <w:lang w:val="el-GR"/>
              </w:rPr>
              <w:t>3</w:t>
            </w:r>
            <w:r w:rsidR="00D12E34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064F0E">
              <w:rPr>
                <w:rFonts w:ascii="Arial" w:hAnsi="Arial" w:cs="Arial"/>
                <w:sz w:val="24"/>
                <w:szCs w:val="24"/>
                <w:lang w:val="el-GR"/>
              </w:rPr>
              <w:t>στ)</w:t>
            </w:r>
            <w:r w:rsidR="003F5C70" w:rsidRPr="00570CE1">
              <w:rPr>
                <w:rFonts w:ascii="Arial" w:hAnsi="Arial" w:cs="Arial"/>
                <w:sz w:val="24"/>
                <w:szCs w:val="24"/>
                <w:lang w:val="el-GR"/>
              </w:rPr>
              <w:t xml:space="preserve"> της </w:t>
            </w:r>
            <w:r w:rsidR="00641ED7" w:rsidRPr="00570CE1">
              <w:rPr>
                <w:rFonts w:ascii="Arial" w:hAnsi="Arial" w:cs="Arial"/>
                <w:sz w:val="24"/>
                <w:szCs w:val="24"/>
                <w:lang w:val="el-GR"/>
              </w:rPr>
              <w:t>πράξη</w:t>
            </w:r>
            <w:r w:rsidR="003F5C70" w:rsidRPr="00570CE1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 w:rsidR="00641ED7" w:rsidRPr="00570CE1">
              <w:rPr>
                <w:rFonts w:ascii="Arial" w:hAnsi="Arial" w:cs="Arial"/>
                <w:sz w:val="24"/>
                <w:szCs w:val="24"/>
                <w:lang w:val="el-GR"/>
              </w:rPr>
              <w:t xml:space="preserve"> της Ευρωπαϊκής Ένωσης με τίτλο «Οδηγία 2014/65/ΕE του Ευρωπαϊκού Κοινοβουλίου και του Συμβουλίου της 15ης Μαΐου 2014 για τις αγορές χρηματοοικονομικών μέσων και την τροποποίηση της Οδηγίας 2002/92/ΕΚ και της Οδηγίας 2011/61/ΕΕ»,</w:t>
            </w:r>
            <w:r w:rsidR="00737A52">
              <w:rPr>
                <w:rFonts w:ascii="Arial" w:hAnsi="Arial" w:cs="Arial"/>
                <w:sz w:val="24"/>
                <w:szCs w:val="24"/>
                <w:lang w:val="el-GR"/>
              </w:rPr>
              <w:t xml:space="preserve"> ως τροποποιήθηκε τελευταία από την Οδηγία </w:t>
            </w:r>
            <w:r w:rsidR="00737A52" w:rsidRPr="00737A52">
              <w:rPr>
                <w:rFonts w:ascii="Arial" w:hAnsi="Arial" w:cs="Arial"/>
                <w:sz w:val="24"/>
                <w:szCs w:val="24"/>
                <w:lang w:val="el-GR"/>
              </w:rPr>
              <w:t>2019/2177</w:t>
            </w:r>
            <w:r w:rsidR="00737A5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737A52" w:rsidRPr="00737A52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</w:t>
            </w:r>
            <w:r w:rsidR="00737A52">
              <w:rPr>
                <w:rFonts w:ascii="Arial" w:hAnsi="Arial" w:cs="Arial"/>
                <w:sz w:val="24"/>
                <w:szCs w:val="24"/>
                <w:lang w:val="el-GR"/>
              </w:rPr>
              <w:t>Ε</w:t>
            </w:r>
            <w:r w:rsidR="00737A52" w:rsidRPr="00737A52">
              <w:rPr>
                <w:rFonts w:ascii="Arial" w:hAnsi="Arial" w:cs="Arial"/>
                <w:sz w:val="24"/>
                <w:szCs w:val="24"/>
                <w:lang w:val="el-GR"/>
              </w:rPr>
              <w:t xml:space="preserve">υρωπαϊκού </w:t>
            </w:r>
            <w:r w:rsidR="00737A52"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="00737A52" w:rsidRPr="00737A52">
              <w:rPr>
                <w:rFonts w:ascii="Arial" w:hAnsi="Arial" w:cs="Arial"/>
                <w:sz w:val="24"/>
                <w:szCs w:val="24"/>
                <w:lang w:val="el-GR"/>
              </w:rPr>
              <w:t xml:space="preserve">οινοβουλίου και του </w:t>
            </w:r>
            <w:r w:rsidR="00737A52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="00737A52" w:rsidRPr="00737A52">
              <w:rPr>
                <w:rFonts w:ascii="Arial" w:hAnsi="Arial" w:cs="Arial"/>
                <w:sz w:val="24"/>
                <w:szCs w:val="24"/>
                <w:lang w:val="el-GR"/>
              </w:rPr>
              <w:t>υμβουλίου</w:t>
            </w:r>
            <w:r w:rsidR="00737A5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737A52" w:rsidRPr="00737A52">
              <w:rPr>
                <w:rFonts w:ascii="Arial" w:hAnsi="Arial" w:cs="Arial"/>
                <w:sz w:val="24"/>
                <w:szCs w:val="24"/>
                <w:lang w:val="el-GR"/>
              </w:rPr>
              <w:t>της 18ης Δεκεμβρίου 2019</w:t>
            </w:r>
            <w:r w:rsidR="00BA4E83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</w:p>
        </w:tc>
      </w:tr>
      <w:tr w:rsidR="00CA6E7A" w:rsidRPr="00B24DAB" w14:paraId="50BD653F" w14:textId="77777777" w:rsidTr="00F46B3D">
        <w:tc>
          <w:tcPr>
            <w:tcW w:w="1843" w:type="dxa"/>
          </w:tcPr>
          <w:p w14:paraId="0F7AD026" w14:textId="77777777" w:rsidR="00CA6E7A" w:rsidRPr="00570CE1" w:rsidRDefault="00CA6E7A" w:rsidP="00A109FA">
            <w:pPr>
              <w:spacing w:line="360" w:lineRule="auto"/>
              <w:ind w:right="-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37" w:type="dxa"/>
            <w:gridSpan w:val="2"/>
          </w:tcPr>
          <w:p w14:paraId="2EAD7DBC" w14:textId="77777777" w:rsidR="00CA6E7A" w:rsidRPr="00570CE1" w:rsidRDefault="00CA6E7A" w:rsidP="00B536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513E9" w:rsidRPr="00B24DAB" w14:paraId="73336484" w14:textId="77777777" w:rsidTr="00AD576E">
        <w:tc>
          <w:tcPr>
            <w:tcW w:w="1843" w:type="dxa"/>
          </w:tcPr>
          <w:p w14:paraId="0CE1F476" w14:textId="77777777" w:rsidR="006513E9" w:rsidRPr="00570CE1" w:rsidRDefault="006513E9" w:rsidP="00A109FA">
            <w:pPr>
              <w:spacing w:line="360" w:lineRule="auto"/>
              <w:ind w:right="-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37" w:type="dxa"/>
            <w:gridSpan w:val="2"/>
          </w:tcPr>
          <w:p w14:paraId="0AB83991" w14:textId="09D2BC1D" w:rsidR="006513E9" w:rsidRPr="00570CE1" w:rsidRDefault="003B5F73" w:rsidP="00DF2B9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70CE1">
              <w:rPr>
                <w:rFonts w:ascii="Arial" w:hAnsi="Arial" w:cs="Arial"/>
                <w:sz w:val="24"/>
                <w:szCs w:val="24"/>
                <w:lang w:val="el-GR"/>
              </w:rPr>
              <w:t>η</w:t>
            </w:r>
            <w:r w:rsidR="006513E9" w:rsidRPr="00570CE1">
              <w:rPr>
                <w:rFonts w:ascii="Arial" w:hAnsi="Arial" w:cs="Arial"/>
                <w:sz w:val="24"/>
                <w:szCs w:val="24"/>
                <w:lang w:val="el-GR"/>
              </w:rPr>
              <w:t xml:space="preserve"> Βουλή των Αντιπροσώπων ψηφίζει ως ακολούθως:</w:t>
            </w:r>
          </w:p>
          <w:p w14:paraId="536C0CC9" w14:textId="68A12FEB" w:rsidR="003B5F73" w:rsidRPr="00570CE1" w:rsidRDefault="003B5F73" w:rsidP="00A109FA">
            <w:pPr>
              <w:spacing w:line="360" w:lineRule="auto"/>
              <w:ind w:left="17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D576E" w:rsidRPr="00B24DAB" w14:paraId="34551EAF" w14:textId="77777777" w:rsidTr="00AD576E">
        <w:trPr>
          <w:trHeight w:val="2577"/>
        </w:trPr>
        <w:tc>
          <w:tcPr>
            <w:tcW w:w="1843" w:type="dxa"/>
          </w:tcPr>
          <w:p w14:paraId="15A41291" w14:textId="77777777" w:rsidR="00AD576E" w:rsidRPr="00570CE1" w:rsidRDefault="00AD576E" w:rsidP="00A109FA">
            <w:pPr>
              <w:spacing w:line="360" w:lineRule="auto"/>
              <w:ind w:right="-57"/>
              <w:jc w:val="both"/>
              <w:rPr>
                <w:rFonts w:ascii="Arial" w:hAnsi="Arial" w:cs="Arial"/>
                <w:lang w:val="el-GR"/>
              </w:rPr>
            </w:pPr>
            <w:r w:rsidRPr="00570CE1">
              <w:rPr>
                <w:rFonts w:ascii="Arial" w:hAnsi="Arial" w:cs="Arial"/>
                <w:lang w:val="el-GR"/>
              </w:rPr>
              <w:t>Συνοπτικός τίτλος.</w:t>
            </w:r>
          </w:p>
          <w:p w14:paraId="0DD14D7C" w14:textId="77777777" w:rsidR="00AD576E" w:rsidRPr="00570CE1" w:rsidRDefault="00AD576E" w:rsidP="00A109FA">
            <w:pPr>
              <w:spacing w:line="360" w:lineRule="auto"/>
              <w:ind w:right="-57"/>
              <w:rPr>
                <w:rFonts w:ascii="Arial" w:hAnsi="Arial" w:cs="Arial"/>
                <w:lang w:val="el-GR"/>
              </w:rPr>
            </w:pPr>
          </w:p>
          <w:p w14:paraId="52D1D73A" w14:textId="14B14068" w:rsidR="00AD576E" w:rsidRDefault="00AD576E" w:rsidP="00A109FA">
            <w:pPr>
              <w:spacing w:line="360" w:lineRule="auto"/>
              <w:ind w:right="-57"/>
              <w:jc w:val="right"/>
              <w:rPr>
                <w:rFonts w:ascii="Arial" w:hAnsi="Arial" w:cs="Arial"/>
                <w:lang w:val="el-GR"/>
              </w:rPr>
            </w:pPr>
            <w:r w:rsidRPr="00570CE1">
              <w:rPr>
                <w:rFonts w:ascii="Arial" w:hAnsi="Arial" w:cs="Arial"/>
                <w:lang w:val="el-GR"/>
              </w:rPr>
              <w:t>87(Ι) του 2017</w:t>
            </w:r>
          </w:p>
          <w:p w14:paraId="5E840453" w14:textId="15C45163" w:rsidR="00AD576E" w:rsidRPr="00E43AD2" w:rsidRDefault="00AD576E" w:rsidP="00AD576E">
            <w:pPr>
              <w:spacing w:line="360" w:lineRule="auto"/>
              <w:ind w:right="-57"/>
              <w:jc w:val="right"/>
              <w:rPr>
                <w:rFonts w:ascii="Arial" w:hAnsi="Arial" w:cs="Arial"/>
                <w:lang w:val="el-GR"/>
              </w:rPr>
            </w:pPr>
            <w:r w:rsidRPr="00811E82">
              <w:rPr>
                <w:rFonts w:ascii="Arial" w:hAnsi="Arial" w:cs="Arial"/>
                <w:lang w:val="el-GR"/>
              </w:rPr>
              <w:t>44(Ι) του 2020</w:t>
            </w:r>
          </w:p>
        </w:tc>
        <w:tc>
          <w:tcPr>
            <w:tcW w:w="7237" w:type="dxa"/>
            <w:gridSpan w:val="2"/>
          </w:tcPr>
          <w:p w14:paraId="5E887749" w14:textId="0B544DF9" w:rsidR="00AD576E" w:rsidRPr="00AD576E" w:rsidRDefault="00AD576E" w:rsidP="00956B7F">
            <w:pPr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Pr="00AD576E">
              <w:rPr>
                <w:rFonts w:ascii="Arial" w:eastAsia="Calibri" w:hAnsi="Arial" w:cs="Arial"/>
                <w:sz w:val="24"/>
                <w:szCs w:val="24"/>
                <w:lang w:val="el-GR"/>
              </w:rPr>
              <w:t>. Ο παρών Νόμος θα αναφέρεται ως ο περί Επενδυτικών Υπηρεσιών και Δραστηριοτήτων και Ρυθμιζόμενων Αγορών (Τροποποιητικός) (</w:t>
            </w:r>
            <w:proofErr w:type="spellStart"/>
            <w:r w:rsidRPr="00AD576E">
              <w:rPr>
                <w:rFonts w:ascii="Arial" w:eastAsia="Calibri" w:hAnsi="Arial" w:cs="Arial"/>
                <w:sz w:val="24"/>
                <w:szCs w:val="24"/>
                <w:lang w:val="el-GR"/>
              </w:rPr>
              <w:t>Aρ</w:t>
            </w:r>
            <w:proofErr w:type="spellEnd"/>
            <w:r w:rsidRPr="00AD576E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. 2) Νόμος του 2020 και θα διαβάζεται μαζί με τους περί Επενδυτικών Υπηρεσιών και Δραστηριοτήτων και Ρυθμιζόμενων Αγορών Νόμους του 2017 </w:t>
            </w:r>
            <w:r w:rsidR="00D65309" w:rsidRPr="00B5368D">
              <w:rPr>
                <w:rFonts w:ascii="Arial" w:eastAsia="Calibri" w:hAnsi="Arial" w:cs="Arial"/>
                <w:sz w:val="24"/>
                <w:szCs w:val="24"/>
                <w:lang w:val="el-GR"/>
              </w:rPr>
              <w:t>έως</w:t>
            </w:r>
            <w:r w:rsidRPr="00AD576E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2020 (που στο εξής θα αναφέρονται ως «ο βασικός νόμος») και ο βασικός νόμος και ο παρών Νόμος θα αναφέρονται μαζί ως οι περί Επενδυτικών Υπηρεσιών και Δραστηριοτήτων και Ρυθμιζόμενων Αγορών Νόμοι του 2017 έως (</w:t>
            </w:r>
            <w:proofErr w:type="spellStart"/>
            <w:r w:rsidRPr="00AD576E">
              <w:rPr>
                <w:rFonts w:ascii="Arial" w:eastAsia="Calibri" w:hAnsi="Arial" w:cs="Arial"/>
                <w:sz w:val="24"/>
                <w:szCs w:val="24"/>
                <w:lang w:val="el-GR"/>
              </w:rPr>
              <w:t>Αρ</w:t>
            </w:r>
            <w:proofErr w:type="spellEnd"/>
            <w:r w:rsidRPr="00AD576E">
              <w:rPr>
                <w:rFonts w:ascii="Arial" w:eastAsia="Calibri" w:hAnsi="Arial" w:cs="Arial"/>
                <w:sz w:val="24"/>
                <w:szCs w:val="24"/>
                <w:lang w:val="el-GR"/>
              </w:rPr>
              <w:t>. 2)  του 2020.</w:t>
            </w:r>
          </w:p>
        </w:tc>
      </w:tr>
      <w:tr w:rsidR="00AD576E" w:rsidRPr="00B24DAB" w14:paraId="48C20D87" w14:textId="77777777" w:rsidTr="005211B3">
        <w:tc>
          <w:tcPr>
            <w:tcW w:w="1843" w:type="dxa"/>
          </w:tcPr>
          <w:p w14:paraId="40870062" w14:textId="77777777" w:rsidR="00AD576E" w:rsidRPr="00A109FA" w:rsidRDefault="00AD576E" w:rsidP="00A109FA">
            <w:pPr>
              <w:spacing w:line="360" w:lineRule="auto"/>
              <w:ind w:right="-57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237" w:type="dxa"/>
            <w:gridSpan w:val="2"/>
          </w:tcPr>
          <w:p w14:paraId="5D9C1AEE" w14:textId="1C4F0118" w:rsidR="00AD576E" w:rsidRPr="00A109FA" w:rsidRDefault="00AD576E" w:rsidP="00A109F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109FA">
              <w:rPr>
                <w:rFonts w:ascii="Arial" w:hAnsi="Arial" w:cs="Arial"/>
                <w:sz w:val="24"/>
                <w:szCs w:val="24"/>
                <w:lang w:val="el-GR"/>
              </w:rPr>
              <w:t xml:space="preserve">      </w:t>
            </w:r>
          </w:p>
        </w:tc>
      </w:tr>
      <w:tr w:rsidR="00AD576E" w:rsidRPr="00B24DAB" w14:paraId="6835BD19" w14:textId="77777777" w:rsidTr="00B61EC6">
        <w:tc>
          <w:tcPr>
            <w:tcW w:w="1843" w:type="dxa"/>
          </w:tcPr>
          <w:p w14:paraId="1B2D4318" w14:textId="7EEE01F3" w:rsidR="00AD576E" w:rsidRDefault="00AD576E" w:rsidP="00AD576E">
            <w:pPr>
              <w:spacing w:line="360" w:lineRule="auto"/>
              <w:ind w:right="-57"/>
              <w:rPr>
                <w:rFonts w:ascii="Arial" w:hAnsi="Arial" w:cs="Arial"/>
                <w:lang w:val="el-GR"/>
              </w:rPr>
            </w:pPr>
            <w:r w:rsidRPr="00570CE1">
              <w:rPr>
                <w:rFonts w:ascii="Arial" w:hAnsi="Arial" w:cs="Arial"/>
                <w:lang w:val="el-GR"/>
              </w:rPr>
              <w:t>Τροποποίηση του άρθρου 2 του βασικού νόμου.</w:t>
            </w:r>
          </w:p>
        </w:tc>
        <w:tc>
          <w:tcPr>
            <w:tcW w:w="7237" w:type="dxa"/>
            <w:gridSpan w:val="2"/>
          </w:tcPr>
          <w:p w14:paraId="1E02B064" w14:textId="604FDA36" w:rsidR="00AD576E" w:rsidRDefault="00AD576E" w:rsidP="00AD576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2. </w:t>
            </w:r>
            <w:r w:rsidRPr="00570CE1">
              <w:rPr>
                <w:rFonts w:ascii="Arial" w:hAnsi="Arial" w:cs="Arial"/>
                <w:sz w:val="24"/>
                <w:szCs w:val="24"/>
                <w:lang w:val="el-GR"/>
              </w:rPr>
              <w:t xml:space="preserve">Το εδάφιο (1) του άρθρου 2 του βασικού νόμου τροποποιείται με την προσθήκη, στην κατάλληλη αλφαβητική σειρά, του ακόλουθου νέου όρου και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του </w:t>
            </w:r>
            <w:r w:rsidRPr="00570CE1">
              <w:rPr>
                <w:rFonts w:ascii="Arial" w:hAnsi="Arial" w:cs="Arial"/>
                <w:sz w:val="24"/>
                <w:szCs w:val="24"/>
                <w:lang w:val="el-GR"/>
              </w:rPr>
              <w:t>ορισμού του:</w:t>
            </w:r>
          </w:p>
        </w:tc>
      </w:tr>
      <w:tr w:rsidR="00AD576E" w:rsidRPr="00B24DAB" w14:paraId="6C3CDE5E" w14:textId="77777777" w:rsidTr="00B61EC6">
        <w:tc>
          <w:tcPr>
            <w:tcW w:w="1843" w:type="dxa"/>
          </w:tcPr>
          <w:p w14:paraId="5C5247C8" w14:textId="77777777" w:rsidR="00AD576E" w:rsidRDefault="00AD576E" w:rsidP="00AD576E">
            <w:pPr>
              <w:spacing w:line="360" w:lineRule="auto"/>
              <w:ind w:right="-57"/>
              <w:jc w:val="right"/>
              <w:rPr>
                <w:rFonts w:ascii="Arial" w:hAnsi="Arial" w:cs="Arial"/>
                <w:lang w:val="el-GR"/>
              </w:rPr>
            </w:pPr>
          </w:p>
          <w:p w14:paraId="1B9E8A9D" w14:textId="77777777" w:rsidR="00B5368D" w:rsidRDefault="00B5368D" w:rsidP="00B5368D">
            <w:pPr>
              <w:spacing w:line="360" w:lineRule="auto"/>
              <w:ind w:right="-57"/>
              <w:rPr>
                <w:rFonts w:ascii="Arial" w:hAnsi="Arial" w:cs="Arial"/>
                <w:lang w:val="el-GR"/>
              </w:rPr>
            </w:pPr>
          </w:p>
          <w:p w14:paraId="3A6DF086" w14:textId="5BF7041F" w:rsidR="00AD576E" w:rsidRPr="00570CE1" w:rsidRDefault="00AD576E" w:rsidP="00AD576E">
            <w:pPr>
              <w:spacing w:line="360" w:lineRule="auto"/>
              <w:ind w:right="-57"/>
              <w:jc w:val="right"/>
              <w:rPr>
                <w:rFonts w:ascii="Arial" w:hAnsi="Arial" w:cs="Arial"/>
                <w:lang w:val="el-GR"/>
              </w:rPr>
            </w:pPr>
            <w:r w:rsidRPr="00570CE1">
              <w:rPr>
                <w:rFonts w:ascii="Arial" w:hAnsi="Arial" w:cs="Arial"/>
                <w:lang w:val="el-GR"/>
              </w:rPr>
              <w:t>8</w:t>
            </w:r>
            <w:r>
              <w:rPr>
                <w:rFonts w:ascii="Arial" w:hAnsi="Arial" w:cs="Arial"/>
                <w:lang w:val="el-GR"/>
              </w:rPr>
              <w:t>5</w:t>
            </w:r>
            <w:r w:rsidRPr="00570CE1">
              <w:rPr>
                <w:rFonts w:ascii="Arial" w:hAnsi="Arial" w:cs="Arial"/>
                <w:lang w:val="el-GR"/>
              </w:rPr>
              <w:t>(Ι) του 2017</w:t>
            </w:r>
          </w:p>
          <w:p w14:paraId="06470A38" w14:textId="77777777" w:rsidR="00AD576E" w:rsidRDefault="00AD576E" w:rsidP="00AD576E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7237" w:type="dxa"/>
            <w:gridSpan w:val="2"/>
          </w:tcPr>
          <w:p w14:paraId="6E5FCCB3" w14:textId="235D203E" w:rsidR="00AD576E" w:rsidRDefault="00AD576E" w:rsidP="00AD576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70CE1">
              <w:rPr>
                <w:rFonts w:ascii="Arial" w:hAnsi="Arial" w:cs="Arial"/>
                <w:sz w:val="24"/>
                <w:szCs w:val="24"/>
                <w:lang w:val="el-GR"/>
              </w:rPr>
              <w:t>«φορέας Εναλλακτικής Επίλυσης Διαφορών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» ή «φορέας </w:t>
            </w:r>
            <w:r w:rsidRPr="00570CE1">
              <w:rPr>
                <w:rStyle w:val="highlight"/>
                <w:rFonts w:ascii="Arial" w:hAnsi="Arial" w:cs="Arial"/>
                <w:sz w:val="24"/>
                <w:szCs w:val="24"/>
                <w:lang w:val="el-GR"/>
              </w:rPr>
              <w:t>ΕΕΔ</w:t>
            </w:r>
            <w:r w:rsidRPr="00570CE1">
              <w:rPr>
                <w:rFonts w:ascii="Arial" w:hAnsi="Arial" w:cs="Arial"/>
                <w:sz w:val="24"/>
                <w:szCs w:val="24"/>
                <w:lang w:val="el-GR"/>
              </w:rPr>
              <w:t>»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έχει την έννοια </w:t>
            </w:r>
            <w:r w:rsidRPr="00AD576E">
              <w:rPr>
                <w:rFonts w:ascii="Arial" w:hAnsi="Arial" w:cs="Arial"/>
                <w:sz w:val="24"/>
                <w:szCs w:val="24"/>
                <w:lang w:val="el-GR"/>
              </w:rPr>
              <w:t>που αποδίδεται στον όρο αυτό</w:t>
            </w:r>
            <w:r w:rsidR="00B5368D">
              <w:rPr>
                <w:rFonts w:ascii="Arial" w:hAnsi="Arial" w:cs="Arial"/>
                <w:sz w:val="24"/>
                <w:szCs w:val="24"/>
                <w:lang w:val="el-GR"/>
              </w:rPr>
              <w:t>ν</w:t>
            </w:r>
            <w:r w:rsidRPr="00AD576E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στο άρθρο 2 του περί της Εναλλακτικής Επίλυσης Καταναλωτικών Διαφορών Νόμου.</w:t>
            </w:r>
          </w:p>
        </w:tc>
      </w:tr>
      <w:tr w:rsidR="00AD576E" w:rsidRPr="00B24DAB" w14:paraId="4AAC2B47" w14:textId="77777777" w:rsidTr="00286BFE">
        <w:tc>
          <w:tcPr>
            <w:tcW w:w="1843" w:type="dxa"/>
          </w:tcPr>
          <w:p w14:paraId="3651BBD0" w14:textId="77777777" w:rsidR="00AD576E" w:rsidRPr="00A109FA" w:rsidRDefault="00AD576E" w:rsidP="00A109FA">
            <w:pPr>
              <w:spacing w:line="360" w:lineRule="auto"/>
              <w:ind w:right="-57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237" w:type="dxa"/>
            <w:gridSpan w:val="2"/>
          </w:tcPr>
          <w:p w14:paraId="05A29EA1" w14:textId="77777777" w:rsidR="00AD576E" w:rsidRPr="00A109FA" w:rsidRDefault="00AD576E" w:rsidP="00A109F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D576E" w:rsidRPr="00B24DAB" w14:paraId="5A68760C" w14:textId="77777777" w:rsidTr="00CF7DD5">
        <w:tc>
          <w:tcPr>
            <w:tcW w:w="1843" w:type="dxa"/>
          </w:tcPr>
          <w:p w14:paraId="163A2B4F" w14:textId="76FC11F4" w:rsidR="00AD576E" w:rsidRPr="00A109FA" w:rsidRDefault="00AD576E" w:rsidP="00A109FA">
            <w:pPr>
              <w:spacing w:line="360" w:lineRule="auto"/>
              <w:ind w:right="-57"/>
              <w:rPr>
                <w:rFonts w:ascii="Arial" w:hAnsi="Arial" w:cs="Arial"/>
                <w:lang w:val="el-GR"/>
              </w:rPr>
            </w:pPr>
            <w:r w:rsidRPr="00A109FA">
              <w:rPr>
                <w:rFonts w:ascii="Arial" w:hAnsi="Arial" w:cs="Arial"/>
                <w:lang w:val="el-GR"/>
              </w:rPr>
              <w:lastRenderedPageBreak/>
              <w:t>Τροποποίηση του άρθρου 76 του βασικού νόμου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237" w:type="dxa"/>
            <w:gridSpan w:val="2"/>
          </w:tcPr>
          <w:p w14:paraId="6DCBBB6B" w14:textId="556A5485" w:rsidR="00AD576E" w:rsidRDefault="00AD576E" w:rsidP="00AF2F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3. Το άρθρο 76 του βασικού νόμου τροποποιείται ως ακολούθως</w:t>
            </w:r>
            <w:r w:rsidRPr="005E4DAB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  <w:p w14:paraId="15CFA7E3" w14:textId="77777777" w:rsidR="00AD576E" w:rsidRDefault="00AD576E" w:rsidP="00A109FA">
            <w:pPr>
              <w:spacing w:line="360" w:lineRule="auto"/>
              <w:ind w:left="17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513E9" w:rsidRPr="00B24DAB" w14:paraId="3FAC2B1A" w14:textId="77777777" w:rsidTr="00AD576E">
        <w:tc>
          <w:tcPr>
            <w:tcW w:w="1843" w:type="dxa"/>
          </w:tcPr>
          <w:p w14:paraId="578DD18D" w14:textId="70D0027B" w:rsidR="006513E9" w:rsidRPr="00A109FA" w:rsidRDefault="006513E9" w:rsidP="00A109FA">
            <w:pPr>
              <w:spacing w:line="360" w:lineRule="auto"/>
              <w:ind w:right="-57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</w:tcPr>
          <w:p w14:paraId="5C169583" w14:textId="77777777" w:rsidR="009A648F" w:rsidRPr="00A109FA" w:rsidRDefault="009A648F" w:rsidP="00A109FA">
            <w:pPr>
              <w:spacing w:line="360" w:lineRule="auto"/>
              <w:ind w:left="17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6EB9A4AE" w14:textId="77777777" w:rsidR="009A648F" w:rsidRPr="00A109FA" w:rsidRDefault="009A648F" w:rsidP="00A109F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6AD026F" w14:textId="0A33E720" w:rsidR="009A648F" w:rsidRPr="00FD105C" w:rsidRDefault="009A648F" w:rsidP="00A109F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FD105C">
              <w:rPr>
                <w:rFonts w:ascii="Arial" w:hAnsi="Arial" w:cs="Arial"/>
                <w:sz w:val="24"/>
                <w:szCs w:val="24"/>
                <w:lang w:val="el-GR"/>
              </w:rPr>
              <w:t xml:space="preserve">     </w:t>
            </w:r>
          </w:p>
        </w:tc>
        <w:tc>
          <w:tcPr>
            <w:tcW w:w="6812" w:type="dxa"/>
          </w:tcPr>
          <w:p w14:paraId="664351F6" w14:textId="53B60C76" w:rsidR="00A634DC" w:rsidRPr="00A109FA" w:rsidRDefault="00AD576E" w:rsidP="00523E2F">
            <w:pPr>
              <w:spacing w:line="360" w:lineRule="auto"/>
              <w:ind w:left="33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811E82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5E4DAB" w:rsidRPr="00811E82">
              <w:rPr>
                <w:rFonts w:ascii="Arial" w:hAnsi="Arial" w:cs="Arial"/>
                <w:sz w:val="24"/>
                <w:szCs w:val="24"/>
                <w:lang w:val="el-GR"/>
              </w:rPr>
              <w:t xml:space="preserve">(α) </w:t>
            </w:r>
            <w:r w:rsidR="00AF2FEF">
              <w:rPr>
                <w:rFonts w:ascii="Arial" w:hAnsi="Arial" w:cs="Arial"/>
                <w:sz w:val="24"/>
                <w:szCs w:val="24"/>
                <w:lang w:val="el-GR"/>
              </w:rPr>
              <w:t>με την αντικατάσταση</w:t>
            </w:r>
            <w:r w:rsidR="00523E2F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εδαφίου (1) με το ακόλουθο νέο εδάφιο:</w:t>
            </w:r>
            <w:r w:rsidR="00AF2FEF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  <w:tr w:rsidR="00523E2F" w:rsidRPr="00B24DAB" w14:paraId="4964E7A1" w14:textId="77777777" w:rsidTr="00AD576E">
        <w:tc>
          <w:tcPr>
            <w:tcW w:w="1843" w:type="dxa"/>
          </w:tcPr>
          <w:p w14:paraId="7E52675D" w14:textId="77777777" w:rsidR="00523E2F" w:rsidRDefault="00523E2F" w:rsidP="00A109FA">
            <w:pPr>
              <w:spacing w:line="360" w:lineRule="auto"/>
              <w:ind w:right="-57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</w:tcPr>
          <w:p w14:paraId="3A544436" w14:textId="77777777" w:rsidR="00523E2F" w:rsidRPr="00A109FA" w:rsidRDefault="00523E2F" w:rsidP="00A109FA">
            <w:pPr>
              <w:spacing w:line="360" w:lineRule="auto"/>
              <w:ind w:left="17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12" w:type="dxa"/>
          </w:tcPr>
          <w:p w14:paraId="4DC994F9" w14:textId="5F4ECC01" w:rsidR="00523E2F" w:rsidRDefault="00523E2F" w:rsidP="00B24D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«(1) </w:t>
            </w:r>
            <w:r w:rsidRPr="00523E2F">
              <w:rPr>
                <w:rFonts w:ascii="Arial" w:hAnsi="Arial" w:cs="Arial"/>
                <w:sz w:val="24"/>
                <w:szCs w:val="24"/>
                <w:lang w:val="el-GR"/>
              </w:rPr>
              <w:t xml:space="preserve">Χωρίς επηρεασμό του περί Ορισμένων Θεμάτων Διαμεσολάβησης σε Αστικές Διαφορές Νόμου,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αναφορικά </w:t>
            </w:r>
            <w:r w:rsidRPr="00C53A26">
              <w:rPr>
                <w:rFonts w:ascii="Arial" w:hAnsi="Arial" w:cs="Arial"/>
                <w:sz w:val="24"/>
                <w:szCs w:val="24"/>
                <w:lang w:val="el-GR"/>
              </w:rPr>
              <w:t>με  καταναλωτικές διαφορές που αφορούν την παροχή επενδυτικών υπηρεσιών και παρεπόμενων υπηρεσιών από ΕΠΕΥ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Pr="00C53A26">
              <w:rPr>
                <w:rFonts w:ascii="Arial" w:hAnsi="Arial" w:cs="Arial"/>
                <w:sz w:val="24"/>
                <w:szCs w:val="24"/>
                <w:lang w:val="el-GR"/>
              </w:rPr>
              <w:t xml:space="preserve">εφαρμόζονται  </w:t>
            </w:r>
            <w:r w:rsidRPr="00523E2F">
              <w:rPr>
                <w:rFonts w:ascii="Arial" w:hAnsi="Arial" w:cs="Arial"/>
                <w:sz w:val="24"/>
                <w:szCs w:val="24"/>
                <w:lang w:val="el-GR"/>
              </w:rPr>
              <w:t xml:space="preserve">οι διατάξεις του </w:t>
            </w:r>
            <w:r w:rsidRPr="00811E82">
              <w:rPr>
                <w:rFonts w:ascii="Arial" w:hAnsi="Arial" w:cs="Arial"/>
                <w:sz w:val="24"/>
                <w:szCs w:val="24"/>
                <w:lang w:val="el-GR"/>
              </w:rPr>
              <w:t>περί της Εναλλακτικής Επίλυσης Καταναλωτικών Διαφορών Νόμου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>
              <w:rPr>
                <w:lang w:val="el-GR"/>
              </w:rPr>
              <w:t xml:space="preserve"> </w:t>
            </w:r>
            <w:r w:rsidRPr="00523E2F">
              <w:rPr>
                <w:rFonts w:ascii="Arial" w:hAnsi="Arial" w:cs="Arial"/>
                <w:sz w:val="24"/>
                <w:szCs w:val="24"/>
                <w:lang w:val="el-GR"/>
              </w:rPr>
              <w:t>και οι εν λόγω διαφορές επιλύονται από φορέα</w:t>
            </w:r>
            <w:r w:rsidR="00B5368D">
              <w:rPr>
                <w:rFonts w:ascii="Arial" w:hAnsi="Arial" w:cs="Arial"/>
                <w:sz w:val="24"/>
                <w:szCs w:val="24"/>
                <w:lang w:val="el-GR"/>
              </w:rPr>
              <w:t xml:space="preserve"> ΕΕΔ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Pr="008035CA">
              <w:rPr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Ό</w:t>
            </w:r>
            <w:r w:rsidRPr="00C53A26">
              <w:rPr>
                <w:rFonts w:ascii="Arial" w:hAnsi="Arial" w:cs="Arial"/>
                <w:sz w:val="24"/>
                <w:szCs w:val="24"/>
                <w:lang w:val="el-GR"/>
              </w:rPr>
              <w:t xml:space="preserve">λες οι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ΕΠΕΥ </w:t>
            </w:r>
            <w:r w:rsidRPr="00C53A26">
              <w:rPr>
                <w:rFonts w:ascii="Arial" w:hAnsi="Arial" w:cs="Arial"/>
                <w:sz w:val="24"/>
                <w:szCs w:val="24"/>
                <w:lang w:val="el-GR"/>
              </w:rPr>
              <w:t>προσχωρούν σε έναν ή περισσότερους από τους φορείς αυτούς, που εφαρμόζουν τις εν λόγω διαδικασίες υποβολής καταγγελιών και προσφυγής</w:t>
            </w:r>
            <w:r w:rsidR="00B5368D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</w:tc>
      </w:tr>
      <w:tr w:rsidR="00AD576E" w:rsidRPr="00B24DAB" w14:paraId="2B45E73D" w14:textId="77777777" w:rsidTr="00AD576E">
        <w:tc>
          <w:tcPr>
            <w:tcW w:w="1843" w:type="dxa"/>
          </w:tcPr>
          <w:p w14:paraId="0F1B4283" w14:textId="77777777" w:rsidR="00AD576E" w:rsidRDefault="00AD576E" w:rsidP="00A109FA">
            <w:pPr>
              <w:spacing w:line="360" w:lineRule="auto"/>
              <w:ind w:right="-57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</w:tcPr>
          <w:p w14:paraId="23D34FBE" w14:textId="77777777" w:rsidR="00AD576E" w:rsidRPr="00A109FA" w:rsidRDefault="00AD576E" w:rsidP="00A109FA">
            <w:pPr>
              <w:spacing w:line="360" w:lineRule="auto"/>
              <w:ind w:left="17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12" w:type="dxa"/>
          </w:tcPr>
          <w:p w14:paraId="7CA6EFAE" w14:textId="77777777" w:rsidR="00AD576E" w:rsidRDefault="00AD576E" w:rsidP="00AD576E">
            <w:pPr>
              <w:spacing w:line="360" w:lineRule="auto"/>
              <w:ind w:left="33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D576E" w:rsidRPr="00B24DAB" w14:paraId="3B5D91AC" w14:textId="77777777" w:rsidTr="00AD576E">
        <w:tc>
          <w:tcPr>
            <w:tcW w:w="1843" w:type="dxa"/>
          </w:tcPr>
          <w:p w14:paraId="116A8DFE" w14:textId="77777777" w:rsidR="00AD576E" w:rsidRDefault="00AD576E" w:rsidP="00A109FA">
            <w:pPr>
              <w:spacing w:line="360" w:lineRule="auto"/>
              <w:ind w:right="-57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</w:tcPr>
          <w:p w14:paraId="3FD6163A" w14:textId="77777777" w:rsidR="00AD576E" w:rsidRPr="00A109FA" w:rsidRDefault="00AD576E" w:rsidP="00A109FA">
            <w:pPr>
              <w:spacing w:line="360" w:lineRule="auto"/>
              <w:ind w:left="17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12" w:type="dxa"/>
          </w:tcPr>
          <w:p w14:paraId="131F85D2" w14:textId="3ADA7887" w:rsidR="00AD576E" w:rsidRDefault="00AD576E" w:rsidP="003F1882">
            <w:pPr>
              <w:spacing w:line="360" w:lineRule="auto"/>
              <w:ind w:left="33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(β) </w:t>
            </w:r>
            <w:r w:rsidR="003F1882">
              <w:rPr>
                <w:rFonts w:ascii="Arial" w:hAnsi="Arial" w:cs="Arial"/>
                <w:sz w:val="24"/>
                <w:szCs w:val="24"/>
                <w:lang w:val="el-GR"/>
              </w:rPr>
              <w:t>με την αντικατάσταση στ</w:t>
            </w:r>
            <w:r w:rsidR="003F1882" w:rsidRPr="00A109FA">
              <w:rPr>
                <w:rFonts w:ascii="Arial" w:hAnsi="Arial" w:cs="Arial"/>
                <w:sz w:val="24"/>
                <w:szCs w:val="24"/>
                <w:lang w:val="el-GR"/>
              </w:rPr>
              <w:t xml:space="preserve">ο </w:t>
            </w:r>
            <w:r w:rsidRPr="00A109FA">
              <w:rPr>
                <w:rFonts w:ascii="Arial" w:hAnsi="Arial" w:cs="Arial"/>
                <w:sz w:val="24"/>
                <w:szCs w:val="24"/>
                <w:lang w:val="el-GR"/>
              </w:rPr>
              <w:t xml:space="preserve">εδάφιο </w:t>
            </w:r>
            <w:r w:rsidRPr="00BB2F81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A109FA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Pr="00BB2F81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Pr="00A109F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3F1882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η</w:t>
            </w:r>
            <w:r w:rsidR="003F1882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φράση</w:t>
            </w:r>
            <w:r w:rsidR="003F1882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«Ο Ενιαίος Φορέας Εξώδικης Επίλυσης Διαφορών Χρηματοοικονομικής Φύσης, ο οποίος συστάθηκε δια των περί της Σύστασης και Λειτουργίας του Ενιαίου Φορέα Εξώδικης Επίλυσης Διαφορών Χρηματοοικονομικής Φύσεως Νόμων του 2010 έως 2015» </w:t>
            </w:r>
            <w:r w:rsidRPr="005853D0">
              <w:rPr>
                <w:rFonts w:ascii="Arial" w:hAnsi="Arial" w:cs="Arial"/>
                <w:sz w:val="24"/>
                <w:szCs w:val="24"/>
                <w:lang w:val="el-GR"/>
              </w:rPr>
              <w:t>(πρώτη</w:t>
            </w:r>
            <w:r w:rsidR="003F1882"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τρίτη</w:t>
            </w:r>
            <w:r w:rsidRPr="005853D0">
              <w:rPr>
                <w:rFonts w:ascii="Arial" w:hAnsi="Arial" w:cs="Arial"/>
                <w:sz w:val="24"/>
                <w:szCs w:val="24"/>
                <w:lang w:val="el-GR"/>
              </w:rPr>
              <w:t xml:space="preserve"> γραμμή),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με</w:t>
            </w:r>
            <w:r w:rsidRPr="00A109FA">
              <w:rPr>
                <w:rFonts w:ascii="Arial" w:hAnsi="Arial" w:cs="Arial"/>
                <w:sz w:val="24"/>
                <w:szCs w:val="24"/>
                <w:lang w:val="el-GR"/>
              </w:rPr>
              <w:t xml:space="preserve"> τη φράση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«Ο </w:t>
            </w:r>
            <w:r w:rsidR="00523E2F">
              <w:rPr>
                <w:rFonts w:ascii="Arial" w:hAnsi="Arial" w:cs="Arial"/>
                <w:sz w:val="24"/>
                <w:szCs w:val="24"/>
                <w:lang w:val="el-GR"/>
              </w:rPr>
              <w:t xml:space="preserve">αναφερόμενος στο εδάφιο (1)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φορέας ΕΕΔ»</w:t>
            </w:r>
            <w:r w:rsidR="00B5368D">
              <w:rPr>
                <w:rFonts w:ascii="Arial" w:hAnsi="Arial" w:cs="Arial"/>
                <w:sz w:val="24"/>
                <w:szCs w:val="24"/>
                <w:lang w:val="el-GR"/>
              </w:rPr>
              <w:t>·</w:t>
            </w:r>
          </w:p>
        </w:tc>
      </w:tr>
      <w:tr w:rsidR="00AD576E" w:rsidRPr="00B24DAB" w14:paraId="2B20C14A" w14:textId="77777777" w:rsidTr="00AD576E">
        <w:tc>
          <w:tcPr>
            <w:tcW w:w="1843" w:type="dxa"/>
          </w:tcPr>
          <w:p w14:paraId="21AF8DDE" w14:textId="77777777" w:rsidR="00AD576E" w:rsidRDefault="00AD576E" w:rsidP="00A109FA">
            <w:pPr>
              <w:spacing w:line="360" w:lineRule="auto"/>
              <w:ind w:right="-57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</w:tcPr>
          <w:p w14:paraId="66E23D43" w14:textId="77777777" w:rsidR="00AD576E" w:rsidRPr="00A109FA" w:rsidRDefault="00AD576E" w:rsidP="00A109FA">
            <w:pPr>
              <w:spacing w:line="360" w:lineRule="auto"/>
              <w:ind w:left="17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12" w:type="dxa"/>
          </w:tcPr>
          <w:p w14:paraId="10551559" w14:textId="77777777" w:rsidR="00AD576E" w:rsidRDefault="00AD576E" w:rsidP="00B5368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D576E" w:rsidRPr="00B24DAB" w14:paraId="160FFC7B" w14:textId="77777777" w:rsidTr="00AD576E">
        <w:tc>
          <w:tcPr>
            <w:tcW w:w="1843" w:type="dxa"/>
          </w:tcPr>
          <w:p w14:paraId="4D748B3C" w14:textId="77777777" w:rsidR="00AD576E" w:rsidRDefault="00AD576E" w:rsidP="00A109FA">
            <w:pPr>
              <w:spacing w:line="360" w:lineRule="auto"/>
              <w:ind w:right="-57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</w:tcPr>
          <w:p w14:paraId="0B0E54D7" w14:textId="77777777" w:rsidR="00AD576E" w:rsidRPr="00A109FA" w:rsidRDefault="00AD576E" w:rsidP="00A109FA">
            <w:pPr>
              <w:spacing w:line="360" w:lineRule="auto"/>
              <w:ind w:left="17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12" w:type="dxa"/>
          </w:tcPr>
          <w:p w14:paraId="3FD97FFE" w14:textId="386B6C06" w:rsidR="00AD576E" w:rsidRDefault="00AD576E" w:rsidP="00523E2F">
            <w:pPr>
              <w:spacing w:line="360" w:lineRule="auto"/>
              <w:ind w:left="33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(γ) </w:t>
            </w:r>
            <w:r w:rsidR="003F1882">
              <w:rPr>
                <w:rFonts w:ascii="Arial" w:hAnsi="Arial" w:cs="Arial"/>
                <w:sz w:val="24"/>
                <w:szCs w:val="24"/>
                <w:lang w:val="el-GR"/>
              </w:rPr>
              <w:t>με την αντικατάσταση σ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το εδάφιο (3) </w:t>
            </w:r>
            <w:r w:rsidR="003F1882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η</w:t>
            </w:r>
            <w:r w:rsidR="003F1882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φράση</w:t>
            </w:r>
            <w:r w:rsidR="003F1882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«στα</w:t>
            </w:r>
            <w:r w:rsidR="00523E2F" w:rsidRPr="00FD105C">
              <w:rPr>
                <w:lang w:val="el-GR"/>
              </w:rPr>
              <w:t xml:space="preserve"> </w:t>
            </w:r>
            <w:r w:rsidR="00523E2F" w:rsidRPr="00523E2F">
              <w:rPr>
                <w:rFonts w:ascii="Arial" w:hAnsi="Arial" w:cs="Arial"/>
                <w:sz w:val="24"/>
                <w:szCs w:val="24"/>
                <w:lang w:val="el-GR"/>
              </w:rPr>
              <w:t>εδάφια (1) και (2)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» (πρώτη γραμμή) αντικαθίσταται με τη φράση «</w:t>
            </w:r>
            <w:r w:rsidR="00523E2F">
              <w:rPr>
                <w:rFonts w:ascii="Arial" w:hAnsi="Arial" w:cs="Arial"/>
                <w:sz w:val="24"/>
                <w:szCs w:val="24"/>
                <w:lang w:val="el-GR"/>
              </w:rPr>
              <w:t>στο εδάφιο (1)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».</w:t>
            </w:r>
          </w:p>
        </w:tc>
      </w:tr>
      <w:tr w:rsidR="00CA6E7A" w:rsidRPr="00B24DAB" w14:paraId="1A57C781" w14:textId="77777777" w:rsidTr="00AD576E">
        <w:tc>
          <w:tcPr>
            <w:tcW w:w="1843" w:type="dxa"/>
          </w:tcPr>
          <w:p w14:paraId="4B7C659C" w14:textId="77777777" w:rsidR="00CA6E7A" w:rsidRDefault="00CA6E7A" w:rsidP="00A109FA">
            <w:pPr>
              <w:spacing w:line="360" w:lineRule="auto"/>
              <w:ind w:right="-57"/>
              <w:rPr>
                <w:rFonts w:ascii="Arial" w:hAnsi="Arial" w:cs="Arial"/>
                <w:lang w:val="el-GR"/>
              </w:rPr>
            </w:pPr>
          </w:p>
        </w:tc>
        <w:tc>
          <w:tcPr>
            <w:tcW w:w="425" w:type="dxa"/>
          </w:tcPr>
          <w:p w14:paraId="7E52E4EA" w14:textId="77777777" w:rsidR="00CA6E7A" w:rsidRPr="00A109FA" w:rsidRDefault="00CA6E7A" w:rsidP="00A109FA">
            <w:pPr>
              <w:spacing w:line="360" w:lineRule="auto"/>
              <w:ind w:left="170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812" w:type="dxa"/>
          </w:tcPr>
          <w:p w14:paraId="4D24DDA4" w14:textId="77777777" w:rsidR="00CA6E7A" w:rsidRDefault="00CA6E7A" w:rsidP="00B24DA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D576E" w:rsidRPr="00B24DAB" w14:paraId="5C17C19A" w14:textId="77777777" w:rsidTr="00D94445">
        <w:tc>
          <w:tcPr>
            <w:tcW w:w="1843" w:type="dxa"/>
          </w:tcPr>
          <w:p w14:paraId="6A992186" w14:textId="0409EACD" w:rsidR="00AD576E" w:rsidRPr="00A109FA" w:rsidRDefault="00AD576E" w:rsidP="00A109FA">
            <w:pPr>
              <w:spacing w:line="360" w:lineRule="auto"/>
              <w:ind w:right="-57"/>
              <w:rPr>
                <w:rFonts w:ascii="Arial" w:hAnsi="Arial" w:cs="Arial"/>
                <w:lang w:val="el-GR"/>
              </w:rPr>
            </w:pPr>
            <w:r w:rsidRPr="00A109FA">
              <w:rPr>
                <w:rFonts w:ascii="Arial" w:hAnsi="Arial" w:cs="Arial"/>
                <w:lang w:val="el-GR"/>
              </w:rPr>
              <w:t>Τροποποίηση του άρθρου 82 του βασικού νόμου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237" w:type="dxa"/>
            <w:gridSpan w:val="2"/>
          </w:tcPr>
          <w:p w14:paraId="3BF25E48" w14:textId="792A8E22" w:rsidR="00AD576E" w:rsidRPr="00A109FA" w:rsidRDefault="00AD576E" w:rsidP="00CA6E7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4. Η παράγραφος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l-GR"/>
              </w:rPr>
              <w:t>στ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l-GR"/>
              </w:rPr>
              <w:t>) του εδαφίου (3)</w:t>
            </w:r>
            <w:r w:rsidRPr="00A109FA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 άρθρου 82 του βασικού νόμο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υ τροποποιείται με την αντικατάσταση της φράσης «του Ενιαίου </w:t>
            </w:r>
            <w:r w:rsidRPr="00811E82">
              <w:rPr>
                <w:rFonts w:ascii="Arial" w:hAnsi="Arial" w:cs="Arial"/>
                <w:sz w:val="24"/>
                <w:szCs w:val="24"/>
                <w:lang w:val="el-GR"/>
              </w:rPr>
              <w:t>Φορέα Εξώδικης Επίλυσης Διαφορών Χρηματοοικονομικής Φύσης κατά τα προβλεπόμενα στο άρθρο 76» (πρώτη γραμμή), με τη φράση «των φορέων ΕΕΔ».</w:t>
            </w:r>
          </w:p>
        </w:tc>
      </w:tr>
    </w:tbl>
    <w:p w14:paraId="203C0005" w14:textId="15439A4D" w:rsidR="00BD590C" w:rsidRPr="00A109FA" w:rsidRDefault="00BD590C" w:rsidP="00D22F50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sectPr w:rsidR="00BD590C" w:rsidRPr="00A109FA" w:rsidSect="009A648F">
      <w:headerReference w:type="default" r:id="rId6"/>
      <w:pgSz w:w="11906" w:h="16838"/>
      <w:pgMar w:top="1440" w:right="1440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36C3D" w14:textId="77777777" w:rsidR="00605345" w:rsidRDefault="00605345" w:rsidP="00D436E3">
      <w:r>
        <w:separator/>
      </w:r>
    </w:p>
  </w:endnote>
  <w:endnote w:type="continuationSeparator" w:id="0">
    <w:p w14:paraId="4ED9E9D3" w14:textId="77777777" w:rsidR="00605345" w:rsidRDefault="00605345" w:rsidP="00D4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57A16" w14:textId="77777777" w:rsidR="00605345" w:rsidRDefault="00605345" w:rsidP="00D436E3">
      <w:r>
        <w:separator/>
      </w:r>
    </w:p>
  </w:footnote>
  <w:footnote w:type="continuationSeparator" w:id="0">
    <w:p w14:paraId="75E8015C" w14:textId="77777777" w:rsidR="00605345" w:rsidRDefault="00605345" w:rsidP="00D4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3A75E" w14:textId="22C427B9" w:rsidR="00D436E3" w:rsidRPr="00D436E3" w:rsidRDefault="00D436E3" w:rsidP="00D436E3">
    <w:pPr>
      <w:pStyle w:val="Header"/>
      <w:jc w:val="cent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B84"/>
    <w:rsid w:val="0003237D"/>
    <w:rsid w:val="00064F0E"/>
    <w:rsid w:val="00086CE9"/>
    <w:rsid w:val="000955AD"/>
    <w:rsid w:val="001226B5"/>
    <w:rsid w:val="00163F83"/>
    <w:rsid w:val="00172672"/>
    <w:rsid w:val="001E4402"/>
    <w:rsid w:val="0023532B"/>
    <w:rsid w:val="002460B0"/>
    <w:rsid w:val="002C20FC"/>
    <w:rsid w:val="00301E2D"/>
    <w:rsid w:val="00364921"/>
    <w:rsid w:val="00367DA3"/>
    <w:rsid w:val="003B1092"/>
    <w:rsid w:val="003B5F73"/>
    <w:rsid w:val="003F1882"/>
    <w:rsid w:val="003F5C70"/>
    <w:rsid w:val="004206DE"/>
    <w:rsid w:val="00424734"/>
    <w:rsid w:val="00436E6F"/>
    <w:rsid w:val="00480878"/>
    <w:rsid w:val="004A3C3D"/>
    <w:rsid w:val="004A51F8"/>
    <w:rsid w:val="004C6EBA"/>
    <w:rsid w:val="00523E2F"/>
    <w:rsid w:val="005250BF"/>
    <w:rsid w:val="00532C43"/>
    <w:rsid w:val="005659DC"/>
    <w:rsid w:val="00570CE1"/>
    <w:rsid w:val="005725AE"/>
    <w:rsid w:val="005853D0"/>
    <w:rsid w:val="005C520A"/>
    <w:rsid w:val="005E4DAB"/>
    <w:rsid w:val="00605345"/>
    <w:rsid w:val="00641ED7"/>
    <w:rsid w:val="006513E9"/>
    <w:rsid w:val="006D28EB"/>
    <w:rsid w:val="006D5484"/>
    <w:rsid w:val="006D6120"/>
    <w:rsid w:val="00731772"/>
    <w:rsid w:val="00737A52"/>
    <w:rsid w:val="00750B0C"/>
    <w:rsid w:val="007A1CE0"/>
    <w:rsid w:val="007B4C7A"/>
    <w:rsid w:val="00811E82"/>
    <w:rsid w:val="0086636E"/>
    <w:rsid w:val="008B2E5C"/>
    <w:rsid w:val="008F13A2"/>
    <w:rsid w:val="008F54A4"/>
    <w:rsid w:val="008F7246"/>
    <w:rsid w:val="00956B7F"/>
    <w:rsid w:val="0097415F"/>
    <w:rsid w:val="009A648F"/>
    <w:rsid w:val="009D144E"/>
    <w:rsid w:val="00A109FA"/>
    <w:rsid w:val="00A634DC"/>
    <w:rsid w:val="00A74742"/>
    <w:rsid w:val="00A81BC9"/>
    <w:rsid w:val="00A8787F"/>
    <w:rsid w:val="00A941D6"/>
    <w:rsid w:val="00AD576E"/>
    <w:rsid w:val="00AF2FEF"/>
    <w:rsid w:val="00AF317A"/>
    <w:rsid w:val="00AF7584"/>
    <w:rsid w:val="00B01A1E"/>
    <w:rsid w:val="00B029BA"/>
    <w:rsid w:val="00B042A5"/>
    <w:rsid w:val="00B21C62"/>
    <w:rsid w:val="00B24DAB"/>
    <w:rsid w:val="00B50B6A"/>
    <w:rsid w:val="00B5368D"/>
    <w:rsid w:val="00B562B4"/>
    <w:rsid w:val="00B771DB"/>
    <w:rsid w:val="00BA4E83"/>
    <w:rsid w:val="00BB2F81"/>
    <w:rsid w:val="00BD590C"/>
    <w:rsid w:val="00C20A23"/>
    <w:rsid w:val="00C53A26"/>
    <w:rsid w:val="00C63C2D"/>
    <w:rsid w:val="00C82043"/>
    <w:rsid w:val="00CA6683"/>
    <w:rsid w:val="00CA6E7A"/>
    <w:rsid w:val="00CB2FED"/>
    <w:rsid w:val="00CD4A37"/>
    <w:rsid w:val="00D12E34"/>
    <w:rsid w:val="00D22F50"/>
    <w:rsid w:val="00D436E3"/>
    <w:rsid w:val="00D5650D"/>
    <w:rsid w:val="00D65309"/>
    <w:rsid w:val="00D85FAE"/>
    <w:rsid w:val="00D90B84"/>
    <w:rsid w:val="00DC674C"/>
    <w:rsid w:val="00DF2B95"/>
    <w:rsid w:val="00E164F7"/>
    <w:rsid w:val="00E43AD2"/>
    <w:rsid w:val="00EA2ADF"/>
    <w:rsid w:val="00EB46C7"/>
    <w:rsid w:val="00EC16B1"/>
    <w:rsid w:val="00EC5C13"/>
    <w:rsid w:val="00ED0AE6"/>
    <w:rsid w:val="00EE49DF"/>
    <w:rsid w:val="00F439AE"/>
    <w:rsid w:val="00F937AB"/>
    <w:rsid w:val="00FD105C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AEC9"/>
  <w15:chartTrackingRefBased/>
  <w15:docId w15:val="{ABC3DCB2-29E3-476F-ACF2-54B34BAD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3E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B01A1E"/>
  </w:style>
  <w:style w:type="paragraph" w:styleId="Header">
    <w:name w:val="header"/>
    <w:basedOn w:val="Normal"/>
    <w:link w:val="HeaderChar"/>
    <w:uiPriority w:val="99"/>
    <w:unhideWhenUsed/>
    <w:rsid w:val="00D436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6E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436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6E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6E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 Siakallis</dc:creator>
  <cp:keywords/>
  <dc:description/>
  <cp:lastModifiedBy>Pavlos Siakallis</cp:lastModifiedBy>
  <cp:revision>60</cp:revision>
  <cp:lastPrinted>2020-06-11T08:21:00Z</cp:lastPrinted>
  <dcterms:created xsi:type="dcterms:W3CDTF">2019-02-22T10:07:00Z</dcterms:created>
  <dcterms:modified xsi:type="dcterms:W3CDTF">2020-06-11T08:27:00Z</dcterms:modified>
</cp:coreProperties>
</file>