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BE809B" w14:textId="77777777" w:rsidR="005616FA" w:rsidRPr="001A7D47" w:rsidRDefault="005616FA" w:rsidP="005616FA">
      <w:pPr>
        <w:spacing w:after="0" w:line="240" w:lineRule="auto"/>
        <w:jc w:val="center"/>
        <w:rPr>
          <w:rFonts w:ascii="Arial" w:hAnsi="Arial" w:cs="Arial"/>
          <w:b/>
          <w:sz w:val="32"/>
          <w:szCs w:val="24"/>
          <w:lang w:val="el-GR"/>
        </w:rPr>
      </w:pPr>
      <w:r w:rsidRPr="001A7D47">
        <w:rPr>
          <w:rFonts w:ascii="Arial" w:hAnsi="Arial" w:cs="Arial"/>
          <w:b/>
          <w:sz w:val="32"/>
          <w:szCs w:val="24"/>
          <w:lang w:val="el-GR"/>
        </w:rPr>
        <w:t>ΚΥΠΡΙΑΚΗ ΔΗΜΟΚΡΑΤΙΑ</w:t>
      </w:r>
    </w:p>
    <w:p w14:paraId="1258B0A0" w14:textId="77777777" w:rsidR="005616FA" w:rsidRPr="001A7D47" w:rsidRDefault="005616FA" w:rsidP="005616FA">
      <w:pPr>
        <w:spacing w:after="0" w:line="240" w:lineRule="auto"/>
        <w:jc w:val="center"/>
        <w:rPr>
          <w:rFonts w:ascii="Arial" w:hAnsi="Arial" w:cs="Arial"/>
          <w:b/>
          <w:sz w:val="32"/>
          <w:szCs w:val="24"/>
          <w:lang w:val="el-GR"/>
        </w:rPr>
      </w:pPr>
      <w:r w:rsidRPr="001A7D47">
        <w:rPr>
          <w:rFonts w:ascii="Arial" w:hAnsi="Arial" w:cs="Arial"/>
          <w:b/>
          <w:sz w:val="32"/>
          <w:szCs w:val="24"/>
          <w:lang w:val="el-GR"/>
        </w:rPr>
        <w:t>ΥΠΟΥΡΓΕΙΟ ΟΙΚΟΝΟΜΙΚΩΝ</w:t>
      </w:r>
    </w:p>
    <w:p w14:paraId="6F7C9655" w14:textId="77777777" w:rsidR="005616FA" w:rsidRPr="001A7D47" w:rsidRDefault="005616FA" w:rsidP="005616FA">
      <w:pPr>
        <w:spacing w:after="0" w:line="240" w:lineRule="auto"/>
        <w:jc w:val="center"/>
        <w:rPr>
          <w:rFonts w:ascii="Arial" w:hAnsi="Arial" w:cs="Arial"/>
          <w:b/>
          <w:sz w:val="28"/>
          <w:szCs w:val="24"/>
          <w:u w:val="single"/>
          <w:lang w:val="el-GR"/>
        </w:rPr>
      </w:pPr>
    </w:p>
    <w:p w14:paraId="19A01B2A" w14:textId="77777777" w:rsidR="005616FA" w:rsidRPr="001A7D47" w:rsidRDefault="005616FA" w:rsidP="005616FA">
      <w:pPr>
        <w:spacing w:after="0" w:line="240" w:lineRule="auto"/>
        <w:jc w:val="center"/>
        <w:rPr>
          <w:rFonts w:ascii="Arial" w:hAnsi="Arial" w:cs="Arial"/>
          <w:b/>
          <w:sz w:val="28"/>
          <w:szCs w:val="24"/>
          <w:u w:val="single"/>
          <w:lang w:val="el-GR"/>
        </w:rPr>
      </w:pPr>
      <w:r w:rsidRPr="001A7D47">
        <w:rPr>
          <w:rFonts w:ascii="Arial" w:hAnsi="Arial" w:cs="Arial"/>
          <w:b/>
          <w:sz w:val="28"/>
          <w:szCs w:val="24"/>
          <w:u w:val="single"/>
          <w:lang w:val="el-GR"/>
        </w:rPr>
        <w:t>ΔΗΜΟΣΙΑ ΔΙΑΒΟΥΛΕΥΣΗ</w:t>
      </w:r>
    </w:p>
    <w:p w14:paraId="2E3EDD78" w14:textId="58A8E78C" w:rsidR="005616FA" w:rsidRPr="001A7D47" w:rsidRDefault="005616FA" w:rsidP="005616FA">
      <w:pPr>
        <w:spacing w:after="0" w:line="240" w:lineRule="auto"/>
        <w:jc w:val="center"/>
        <w:rPr>
          <w:rFonts w:ascii="Arial" w:hAnsi="Arial" w:cs="Arial"/>
          <w:b/>
          <w:sz w:val="28"/>
          <w:szCs w:val="24"/>
          <w:lang w:val="el-GR"/>
        </w:rPr>
      </w:pPr>
      <w:r w:rsidRPr="001A7D47">
        <w:rPr>
          <w:rFonts w:ascii="Arial" w:hAnsi="Arial" w:cs="Arial"/>
          <w:b/>
          <w:sz w:val="28"/>
          <w:szCs w:val="24"/>
          <w:u w:val="single"/>
          <w:lang w:val="el-GR"/>
        </w:rPr>
        <w:t xml:space="preserve">Αναφορικά με </w:t>
      </w:r>
      <w:r w:rsidR="00EE566B" w:rsidRPr="001A7D47">
        <w:rPr>
          <w:rFonts w:ascii="Arial" w:hAnsi="Arial" w:cs="Arial"/>
          <w:b/>
          <w:sz w:val="28"/>
          <w:szCs w:val="24"/>
          <w:u w:val="single"/>
          <w:lang w:val="el-GR"/>
        </w:rPr>
        <w:t xml:space="preserve">τις Διακριτικές ευχέρειες που παρέχει η Οδηγία </w:t>
      </w:r>
      <w:r w:rsidR="00824A0C" w:rsidRPr="001A7D47">
        <w:rPr>
          <w:rFonts w:ascii="Arial" w:hAnsi="Arial" w:cs="Arial"/>
          <w:b/>
          <w:sz w:val="28"/>
          <w:szCs w:val="24"/>
          <w:u w:val="single"/>
          <w:lang w:val="el-GR"/>
        </w:rPr>
        <w:t>2019/</w:t>
      </w:r>
      <w:r w:rsidR="005F1AEA">
        <w:rPr>
          <w:rFonts w:ascii="Arial" w:hAnsi="Arial" w:cs="Arial"/>
          <w:b/>
          <w:sz w:val="28"/>
          <w:szCs w:val="24"/>
          <w:u w:val="single"/>
          <w:lang w:val="el-GR"/>
        </w:rPr>
        <w:t>2034</w:t>
      </w:r>
      <w:r w:rsidR="00EE566B" w:rsidRPr="001A7D47">
        <w:rPr>
          <w:rFonts w:ascii="Arial" w:hAnsi="Arial" w:cs="Arial"/>
          <w:b/>
          <w:sz w:val="28"/>
          <w:szCs w:val="24"/>
          <w:u w:val="single"/>
          <w:lang w:val="el-GR"/>
        </w:rPr>
        <w:t xml:space="preserve">/ΕΕ </w:t>
      </w:r>
      <w:r w:rsidR="00D63934" w:rsidRPr="00D63934">
        <w:rPr>
          <w:rFonts w:ascii="Arial" w:hAnsi="Arial" w:cs="Arial"/>
          <w:b/>
          <w:sz w:val="28"/>
          <w:szCs w:val="24"/>
          <w:u w:val="single"/>
          <w:lang w:val="el-GR"/>
        </w:rPr>
        <w:t>σχετικά με την προληπτική εποπτεία επιχειρήσεων επενδύσεων</w:t>
      </w:r>
    </w:p>
    <w:p w14:paraId="3CC31BD0" w14:textId="77777777" w:rsidR="005616FA" w:rsidRPr="001A7D47" w:rsidRDefault="005616FA" w:rsidP="005616FA">
      <w:pPr>
        <w:spacing w:after="0" w:line="240" w:lineRule="auto"/>
        <w:rPr>
          <w:rFonts w:ascii="Arial" w:hAnsi="Arial" w:cs="Arial"/>
          <w:sz w:val="24"/>
          <w:szCs w:val="24"/>
          <w:lang w:val="el-GR"/>
        </w:rPr>
      </w:pPr>
    </w:p>
    <w:p w14:paraId="240EBE86" w14:textId="3C09D12A" w:rsidR="005616FA" w:rsidRDefault="005616FA" w:rsidP="002A0D00">
      <w:pPr>
        <w:spacing w:after="0" w:line="240" w:lineRule="auto"/>
        <w:jc w:val="both"/>
        <w:rPr>
          <w:rFonts w:ascii="Arial" w:hAnsi="Arial" w:cs="Arial"/>
          <w:sz w:val="24"/>
          <w:szCs w:val="24"/>
          <w:lang w:val="el-GR"/>
        </w:rPr>
      </w:pPr>
      <w:r w:rsidRPr="001A7D47">
        <w:rPr>
          <w:rFonts w:ascii="Arial" w:hAnsi="Arial" w:cs="Arial"/>
          <w:sz w:val="24"/>
          <w:szCs w:val="24"/>
          <w:lang w:val="el-GR"/>
        </w:rPr>
        <w:t>Το Υπουργείο Οικονομικών, στα πλαίσια θέσπισης αποτελεσματικών ρυθμίσεων και διαδικασιών διαβούλευσης με τους συμμετέχοντες στην αγορά</w:t>
      </w:r>
      <w:r w:rsidR="00004FE4" w:rsidRPr="001A7D47">
        <w:rPr>
          <w:rFonts w:ascii="Arial" w:hAnsi="Arial" w:cs="Arial"/>
          <w:sz w:val="24"/>
          <w:szCs w:val="24"/>
          <w:lang w:val="el-GR"/>
        </w:rPr>
        <w:t>,</w:t>
      </w:r>
      <w:r w:rsidRPr="001A7D47">
        <w:rPr>
          <w:rFonts w:ascii="Arial" w:hAnsi="Arial" w:cs="Arial"/>
          <w:sz w:val="24"/>
          <w:szCs w:val="24"/>
          <w:lang w:val="el-GR"/>
        </w:rPr>
        <w:t xml:space="preserve"> όσον αφορά τις προτεινόμενες αλλαγές στην εθνική </w:t>
      </w:r>
      <w:r w:rsidR="001D07D2" w:rsidRPr="001A7D47">
        <w:rPr>
          <w:rFonts w:ascii="Arial" w:hAnsi="Arial" w:cs="Arial"/>
          <w:sz w:val="24"/>
          <w:szCs w:val="24"/>
          <w:lang w:val="el-GR"/>
        </w:rPr>
        <w:t>νομοθεσία, κυκλοφορεί το παρόν έ</w:t>
      </w:r>
      <w:r w:rsidRPr="001A7D47">
        <w:rPr>
          <w:rFonts w:ascii="Arial" w:hAnsi="Arial" w:cs="Arial"/>
          <w:sz w:val="24"/>
          <w:szCs w:val="24"/>
          <w:lang w:val="el-GR"/>
        </w:rPr>
        <w:t>γγραφο για σκοπούς υποβολής απόψεων</w:t>
      </w:r>
      <w:r w:rsidR="00EE566B" w:rsidRPr="001A7D47">
        <w:rPr>
          <w:rFonts w:ascii="Arial" w:hAnsi="Arial" w:cs="Arial"/>
          <w:sz w:val="24"/>
          <w:szCs w:val="24"/>
          <w:lang w:val="el-GR"/>
        </w:rPr>
        <w:t>, επί των διακριτικών ευχερειών που παρέχει η Οδηγία  (ΕΕ) 2019/</w:t>
      </w:r>
      <w:r w:rsidR="005F1AEA">
        <w:rPr>
          <w:rFonts w:ascii="Arial" w:hAnsi="Arial" w:cs="Arial"/>
          <w:sz w:val="24"/>
          <w:szCs w:val="24"/>
          <w:lang w:val="el-GR"/>
        </w:rPr>
        <w:t>2034</w:t>
      </w:r>
      <w:r w:rsidR="009C0694">
        <w:rPr>
          <w:rFonts w:ascii="Arial" w:hAnsi="Arial" w:cs="Arial"/>
          <w:sz w:val="24"/>
          <w:szCs w:val="24"/>
          <w:lang w:val="el-GR"/>
        </w:rPr>
        <w:t>, σχετικά με την προληπτική εποπτεία επιχειρήσεων επενδύσεων.</w:t>
      </w:r>
    </w:p>
    <w:p w14:paraId="5D389A0F" w14:textId="5F7B2C41" w:rsidR="00334E1E" w:rsidRDefault="00334E1E" w:rsidP="002A0D00">
      <w:pPr>
        <w:spacing w:after="0" w:line="240" w:lineRule="auto"/>
        <w:jc w:val="both"/>
        <w:rPr>
          <w:rFonts w:ascii="Arial" w:hAnsi="Arial" w:cs="Arial"/>
          <w:sz w:val="24"/>
          <w:szCs w:val="24"/>
          <w:lang w:val="el-GR"/>
        </w:rPr>
      </w:pPr>
    </w:p>
    <w:p w14:paraId="35EEC2D3" w14:textId="0057BC76" w:rsidR="00334E1E" w:rsidRPr="00334E1E" w:rsidRDefault="00334E1E" w:rsidP="002A0D00">
      <w:pPr>
        <w:spacing w:after="0" w:line="240" w:lineRule="auto"/>
        <w:jc w:val="both"/>
        <w:rPr>
          <w:rFonts w:ascii="Arial" w:hAnsi="Arial" w:cs="Arial"/>
          <w:sz w:val="24"/>
          <w:szCs w:val="24"/>
          <w:lang w:val="el-GR"/>
        </w:rPr>
      </w:pPr>
      <w:r w:rsidRPr="00334E1E">
        <w:rPr>
          <w:rFonts w:ascii="Arial" w:hAnsi="Arial" w:cs="Arial"/>
          <w:sz w:val="24"/>
          <w:szCs w:val="24"/>
          <w:lang w:val="el-GR"/>
        </w:rPr>
        <w:t>Στόχος της εν λόγω οδηγίας είναι να αντιμετωπιστούν περαιτέρω τα ιδιαίτερα τρωτά σημεία και οι κίνδυνοι που χαρακτηρίζουν τις επιχειρήσεις επενδύσεων, με αποτελεσματικές, κατάλληλες και αναλογικές ρυθμίσεις προληπτικής εποπτείας σε επίπεδο Ένωσης, οι οποίες συμβάλλουν στην εξασφάλιση ισότιμων όρων ανταγωνισμού σε ολόκληρη την Ένωση, που παρέχουν εχέγγυα για αποτελεσματική προληπτική εποπτεία, διατηρώντας παράλληλα το κόστος συμμόρφωσης υπό έλεγχο, και που εξασφαλίζουν επαρκή κεφάλαια για τους κινδύνους των επιχειρήσεων επενδύσεων.</w:t>
      </w:r>
    </w:p>
    <w:p w14:paraId="135DAEA8" w14:textId="77777777" w:rsidR="00334E1E" w:rsidRPr="00337D60" w:rsidRDefault="00334E1E" w:rsidP="002A0D00">
      <w:pPr>
        <w:spacing w:after="0" w:line="240" w:lineRule="auto"/>
        <w:jc w:val="both"/>
        <w:rPr>
          <w:rFonts w:ascii="Arial" w:hAnsi="Arial" w:cs="Arial"/>
          <w:sz w:val="24"/>
          <w:szCs w:val="24"/>
          <w:lang w:val="el-GR"/>
        </w:rPr>
      </w:pPr>
    </w:p>
    <w:p w14:paraId="65D10EE2" w14:textId="620CE119" w:rsidR="00334E1E" w:rsidRPr="008B544D" w:rsidRDefault="008B544D" w:rsidP="002A0D00">
      <w:pPr>
        <w:jc w:val="both"/>
        <w:rPr>
          <w:rFonts w:ascii="Arial" w:hAnsi="Arial" w:cs="Arial"/>
          <w:bCs/>
          <w:sz w:val="24"/>
          <w:szCs w:val="24"/>
          <w:lang w:val="el-GR"/>
        </w:rPr>
      </w:pPr>
      <w:r>
        <w:rPr>
          <w:rFonts w:ascii="Arial" w:hAnsi="Arial" w:cs="Arial"/>
          <w:bCs/>
          <w:sz w:val="24"/>
          <w:szCs w:val="24"/>
          <w:lang w:val="el-GR"/>
        </w:rPr>
        <w:t xml:space="preserve">Η εν λόγω Οδηγία είναι μέρος του πακέτου μέτρων που </w:t>
      </w:r>
      <w:r w:rsidR="009F46D3">
        <w:rPr>
          <w:rFonts w:ascii="Arial" w:hAnsi="Arial" w:cs="Arial"/>
          <w:bCs/>
          <w:sz w:val="24"/>
          <w:szCs w:val="24"/>
          <w:lang w:val="el-GR"/>
        </w:rPr>
        <w:t>δημοσιεύτηκε</w:t>
      </w:r>
      <w:r>
        <w:rPr>
          <w:rFonts w:ascii="Arial" w:hAnsi="Arial" w:cs="Arial"/>
          <w:bCs/>
          <w:sz w:val="24"/>
          <w:szCs w:val="24"/>
          <w:lang w:val="el-GR"/>
        </w:rPr>
        <w:t xml:space="preserve"> μετά από </w:t>
      </w:r>
      <w:r w:rsidR="00334E1E" w:rsidRPr="00334E1E">
        <w:rPr>
          <w:rFonts w:ascii="Arial" w:hAnsi="Arial" w:cs="Arial"/>
          <w:bCs/>
          <w:sz w:val="24"/>
          <w:szCs w:val="24"/>
          <w:lang w:val="el-GR"/>
        </w:rPr>
        <w:t>αξιολόγηση του πλαισίου προληπτικής εποπτείας για τις επιχειρήσεις επενδύσεων</w:t>
      </w:r>
      <w:r w:rsidR="004C2F0E">
        <w:rPr>
          <w:rFonts w:ascii="Arial" w:hAnsi="Arial" w:cs="Arial"/>
          <w:bCs/>
          <w:sz w:val="24"/>
          <w:szCs w:val="24"/>
          <w:lang w:val="el-GR"/>
        </w:rPr>
        <w:t>,</w:t>
      </w:r>
      <w:r>
        <w:rPr>
          <w:rFonts w:ascii="Arial" w:hAnsi="Arial" w:cs="Arial"/>
          <w:bCs/>
          <w:sz w:val="24"/>
          <w:szCs w:val="24"/>
          <w:lang w:val="el-GR"/>
        </w:rPr>
        <w:t xml:space="preserve"> όπως φαίνεται στον πιο κάτω σύνδεσμο.</w:t>
      </w:r>
    </w:p>
    <w:p w14:paraId="2703AEBF" w14:textId="0474C899" w:rsidR="00334E1E" w:rsidRPr="00311295" w:rsidRDefault="002E745D" w:rsidP="002A0D00">
      <w:pPr>
        <w:jc w:val="both"/>
        <w:rPr>
          <w:rFonts w:ascii="Arial" w:hAnsi="Arial" w:cs="Arial"/>
          <w:sz w:val="24"/>
          <w:szCs w:val="24"/>
          <w:lang w:val="el-GR"/>
        </w:rPr>
      </w:pPr>
      <w:hyperlink r:id="rId7" w:history="1">
        <w:r w:rsidR="00534806" w:rsidRPr="00311295">
          <w:rPr>
            <w:rStyle w:val="Hyperlink"/>
            <w:rFonts w:ascii="Arial" w:hAnsi="Arial" w:cs="Arial"/>
            <w:sz w:val="24"/>
            <w:szCs w:val="24"/>
          </w:rPr>
          <w:t>https</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ec</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europa</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eu</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info</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publications</w:t>
        </w:r>
        <w:r w:rsidR="00534806" w:rsidRPr="00311295">
          <w:rPr>
            <w:rStyle w:val="Hyperlink"/>
            <w:rFonts w:ascii="Arial" w:hAnsi="Arial" w:cs="Arial"/>
            <w:sz w:val="24"/>
            <w:szCs w:val="24"/>
            <w:lang w:val="el-GR"/>
          </w:rPr>
          <w:t>/171220-</w:t>
        </w:r>
        <w:r w:rsidR="00534806" w:rsidRPr="00311295">
          <w:rPr>
            <w:rStyle w:val="Hyperlink"/>
            <w:rFonts w:ascii="Arial" w:hAnsi="Arial" w:cs="Arial"/>
            <w:sz w:val="24"/>
            <w:szCs w:val="24"/>
          </w:rPr>
          <w:t>investment</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firms</w:t>
        </w:r>
        <w:r w:rsidR="00534806" w:rsidRPr="00311295">
          <w:rPr>
            <w:rStyle w:val="Hyperlink"/>
            <w:rFonts w:ascii="Arial" w:hAnsi="Arial" w:cs="Arial"/>
            <w:sz w:val="24"/>
            <w:szCs w:val="24"/>
            <w:lang w:val="el-GR"/>
          </w:rPr>
          <w:t>-</w:t>
        </w:r>
        <w:r w:rsidR="00534806" w:rsidRPr="00311295">
          <w:rPr>
            <w:rStyle w:val="Hyperlink"/>
            <w:rFonts w:ascii="Arial" w:hAnsi="Arial" w:cs="Arial"/>
            <w:sz w:val="24"/>
            <w:szCs w:val="24"/>
          </w:rPr>
          <w:t>review</w:t>
        </w:r>
        <w:r w:rsidR="00534806" w:rsidRPr="00311295">
          <w:rPr>
            <w:rStyle w:val="Hyperlink"/>
            <w:rFonts w:ascii="Arial" w:hAnsi="Arial" w:cs="Arial"/>
            <w:sz w:val="24"/>
            <w:szCs w:val="24"/>
            <w:lang w:val="el-GR"/>
          </w:rPr>
          <w:t>_</w:t>
        </w:r>
        <w:r w:rsidR="00534806" w:rsidRPr="00311295">
          <w:rPr>
            <w:rStyle w:val="Hyperlink"/>
            <w:rFonts w:ascii="Arial" w:hAnsi="Arial" w:cs="Arial"/>
            <w:sz w:val="24"/>
            <w:szCs w:val="24"/>
          </w:rPr>
          <w:t>en</w:t>
        </w:r>
      </w:hyperlink>
    </w:p>
    <w:p w14:paraId="5353A88E" w14:textId="291BEF79" w:rsidR="00334E1E" w:rsidRPr="00334E1E" w:rsidRDefault="008B544D" w:rsidP="002A0D00">
      <w:pPr>
        <w:jc w:val="both"/>
        <w:rPr>
          <w:rFonts w:ascii="Arial" w:hAnsi="Arial" w:cs="Arial"/>
          <w:sz w:val="24"/>
          <w:szCs w:val="24"/>
          <w:lang w:val="el-GR"/>
        </w:rPr>
      </w:pPr>
      <w:r>
        <w:rPr>
          <w:rFonts w:ascii="Arial" w:hAnsi="Arial" w:cs="Arial"/>
          <w:sz w:val="24"/>
          <w:szCs w:val="24"/>
          <w:lang w:val="el-GR"/>
        </w:rPr>
        <w:t>Το πακέτο μέτρων που</w:t>
      </w:r>
      <w:r w:rsidR="004C2F0E">
        <w:rPr>
          <w:rFonts w:ascii="Arial" w:hAnsi="Arial" w:cs="Arial"/>
          <w:sz w:val="24"/>
          <w:szCs w:val="24"/>
          <w:lang w:val="el-GR"/>
        </w:rPr>
        <w:t xml:space="preserve"> έχει δημοσιευτεί </w:t>
      </w:r>
      <w:r>
        <w:rPr>
          <w:rFonts w:ascii="Arial" w:hAnsi="Arial" w:cs="Arial"/>
          <w:sz w:val="24"/>
          <w:szCs w:val="24"/>
          <w:lang w:val="el-GR"/>
        </w:rPr>
        <w:t>μετά την αξιολόγηση</w:t>
      </w:r>
      <w:r w:rsidR="009C0694">
        <w:rPr>
          <w:rFonts w:ascii="Arial" w:hAnsi="Arial" w:cs="Arial"/>
          <w:sz w:val="24"/>
          <w:szCs w:val="24"/>
          <w:lang w:val="el-GR"/>
        </w:rPr>
        <w:t>,</w:t>
      </w:r>
      <w:r>
        <w:rPr>
          <w:rFonts w:ascii="Arial" w:hAnsi="Arial" w:cs="Arial"/>
          <w:sz w:val="24"/>
          <w:szCs w:val="24"/>
          <w:lang w:val="el-GR"/>
        </w:rPr>
        <w:t xml:space="preserve"> </w:t>
      </w:r>
      <w:r w:rsidR="004C2F0E">
        <w:rPr>
          <w:rFonts w:ascii="Arial" w:hAnsi="Arial" w:cs="Arial"/>
          <w:sz w:val="24"/>
          <w:szCs w:val="24"/>
          <w:lang w:val="el-GR"/>
        </w:rPr>
        <w:t>αποτελείται από την Οδηγία 2019/2034 και τον Κανονισμού</w:t>
      </w:r>
      <w:r w:rsidR="004C2F0E" w:rsidRPr="004C2F0E">
        <w:rPr>
          <w:rFonts w:ascii="Arial" w:hAnsi="Arial" w:cs="Arial"/>
          <w:sz w:val="24"/>
          <w:szCs w:val="24"/>
          <w:lang w:val="el-GR"/>
        </w:rPr>
        <w:t xml:space="preserve"> 2019/2033</w:t>
      </w:r>
      <w:r w:rsidR="009C0694">
        <w:rPr>
          <w:rFonts w:ascii="Arial" w:hAnsi="Arial" w:cs="Arial"/>
          <w:sz w:val="24"/>
          <w:szCs w:val="24"/>
          <w:lang w:val="el-GR"/>
        </w:rPr>
        <w:t>.</w:t>
      </w:r>
      <w:r w:rsidR="004C2F0E">
        <w:rPr>
          <w:rFonts w:ascii="Arial" w:hAnsi="Arial" w:cs="Arial"/>
          <w:sz w:val="24"/>
          <w:szCs w:val="24"/>
          <w:lang w:val="el-GR"/>
        </w:rPr>
        <w:t xml:space="preserve"> </w:t>
      </w:r>
      <w:r w:rsidR="00334E1E" w:rsidRPr="00334E1E">
        <w:rPr>
          <w:rFonts w:ascii="Arial" w:hAnsi="Arial" w:cs="Arial"/>
          <w:sz w:val="24"/>
          <w:szCs w:val="24"/>
          <w:lang w:val="el-GR"/>
        </w:rPr>
        <w:t>Το κύριο συμπέρασμα</w:t>
      </w:r>
      <w:r w:rsidR="004C2F0E">
        <w:rPr>
          <w:rFonts w:ascii="Arial" w:hAnsi="Arial" w:cs="Arial"/>
          <w:sz w:val="24"/>
          <w:szCs w:val="24"/>
          <w:lang w:val="el-GR"/>
        </w:rPr>
        <w:t xml:space="preserve"> της αξιολόγησης</w:t>
      </w:r>
      <w:r w:rsidR="00334E1E" w:rsidRPr="00334E1E">
        <w:rPr>
          <w:rFonts w:ascii="Arial" w:hAnsi="Arial" w:cs="Arial"/>
          <w:sz w:val="24"/>
          <w:szCs w:val="24"/>
          <w:lang w:val="el-GR"/>
        </w:rPr>
        <w:t xml:space="preserve"> είναι ότι θα πρέπει να υπάρξει ένα σαφές βήμα προς την κατεύθυνση ενός εποπτικού πλαισίου για τις επιχειρήσεις επενδύσεων, το οποίο μπορεί να στηρίξει την ασφαλή λειτουργία των επιχειρήσεων επενδύσεων σε υγιή οικονομική βάση και ταυτόχρονα να μην εμποδίζει τις εμπορικές τους προοπτικές.</w:t>
      </w:r>
    </w:p>
    <w:p w14:paraId="3E52B971" w14:textId="04521773" w:rsidR="004C2F0E" w:rsidRPr="004C2F0E" w:rsidRDefault="004C2F0E" w:rsidP="002A0D00">
      <w:pPr>
        <w:spacing w:after="0" w:line="240" w:lineRule="auto"/>
        <w:jc w:val="both"/>
        <w:rPr>
          <w:rFonts w:ascii="Arial" w:hAnsi="Arial" w:cs="Arial"/>
          <w:sz w:val="24"/>
          <w:szCs w:val="24"/>
          <w:lang w:val="el-GR"/>
        </w:rPr>
      </w:pPr>
      <w:r>
        <w:rPr>
          <w:rFonts w:ascii="Arial" w:hAnsi="Arial" w:cs="Arial"/>
          <w:sz w:val="24"/>
          <w:szCs w:val="24"/>
          <w:lang w:val="el-GR"/>
        </w:rPr>
        <w:t>Ειδικότερα, με την Οδηγία 2019/2034 και τον Κανονισμού</w:t>
      </w:r>
      <w:r w:rsidRPr="004C2F0E">
        <w:rPr>
          <w:rFonts w:ascii="Arial" w:hAnsi="Arial" w:cs="Arial"/>
          <w:sz w:val="24"/>
          <w:szCs w:val="24"/>
          <w:lang w:val="el-GR"/>
        </w:rPr>
        <w:t xml:space="preserve"> 2019/2033</w:t>
      </w:r>
      <w:r>
        <w:rPr>
          <w:rFonts w:ascii="Arial" w:hAnsi="Arial" w:cs="Arial"/>
          <w:sz w:val="24"/>
          <w:szCs w:val="24"/>
          <w:lang w:val="el-GR"/>
        </w:rPr>
        <w:t xml:space="preserve"> γίνεται</w:t>
      </w:r>
      <w:r w:rsidRPr="004C2F0E">
        <w:rPr>
          <w:rFonts w:ascii="Arial" w:hAnsi="Arial" w:cs="Arial"/>
          <w:sz w:val="24"/>
          <w:szCs w:val="24"/>
          <w:lang w:val="el-GR"/>
        </w:rPr>
        <w:t xml:space="preserve"> εισαγωγή πιο αναλογικών κανόνων για τις επιχειρήσεις επενδύσεων. </w:t>
      </w:r>
      <w:r>
        <w:rPr>
          <w:rFonts w:ascii="Arial" w:hAnsi="Arial" w:cs="Arial"/>
          <w:sz w:val="24"/>
          <w:szCs w:val="24"/>
          <w:lang w:val="el-GR"/>
        </w:rPr>
        <w:t>Με την εφαρμογή του ποιο πάνω πακέτου μέτρων</w:t>
      </w:r>
      <w:r w:rsidRPr="004C2F0E">
        <w:rPr>
          <w:rFonts w:ascii="Arial" w:hAnsi="Arial" w:cs="Arial"/>
          <w:sz w:val="24"/>
          <w:szCs w:val="24"/>
          <w:lang w:val="el-GR"/>
        </w:rPr>
        <w:t>, η πλειονότητα των επιχειρήσεων επενδύσεων στην ΕΕ δεν θα υπόκεινται πλέον σε κανόνες που είχαν αρχικά σχεδιαστεί για τις τράπεζες. Ταυτόχρονα, οι μεγαλύτερες και οι περισσότερες συστημικές εταιρείες επενδύσεων θα υπόκεινται στο ίδιο καθεστώς με τις τράπεζες.</w:t>
      </w:r>
    </w:p>
    <w:p w14:paraId="415AD97B" w14:textId="77777777" w:rsidR="004C2F0E" w:rsidRDefault="004C2F0E" w:rsidP="002A0D00">
      <w:pPr>
        <w:spacing w:after="0" w:line="240" w:lineRule="auto"/>
        <w:jc w:val="both"/>
        <w:rPr>
          <w:rFonts w:ascii="Arial" w:hAnsi="Arial" w:cs="Arial"/>
          <w:sz w:val="24"/>
          <w:szCs w:val="24"/>
          <w:lang w:val="el-GR"/>
        </w:rPr>
      </w:pPr>
    </w:p>
    <w:p w14:paraId="76F27AF6" w14:textId="2D5D3FA7" w:rsidR="00EF2AFA" w:rsidRPr="001A7D47" w:rsidRDefault="00EF2AFA" w:rsidP="002A0D00">
      <w:pPr>
        <w:spacing w:after="0" w:line="240" w:lineRule="auto"/>
        <w:jc w:val="both"/>
        <w:rPr>
          <w:rFonts w:ascii="Arial" w:hAnsi="Arial" w:cs="Arial"/>
          <w:sz w:val="24"/>
          <w:szCs w:val="24"/>
          <w:lang w:val="el-GR"/>
        </w:rPr>
      </w:pPr>
      <w:r w:rsidRPr="001A7D47">
        <w:rPr>
          <w:rFonts w:ascii="Arial" w:hAnsi="Arial" w:cs="Arial"/>
          <w:sz w:val="24"/>
          <w:szCs w:val="24"/>
          <w:lang w:val="el-GR"/>
        </w:rPr>
        <w:t>Η Οδηγία (ΕΕ) 2019/</w:t>
      </w:r>
      <w:r w:rsidR="00337D60" w:rsidRPr="00337D60">
        <w:rPr>
          <w:rFonts w:ascii="Arial" w:hAnsi="Arial" w:cs="Arial"/>
          <w:sz w:val="24"/>
          <w:szCs w:val="24"/>
          <w:lang w:val="el-GR"/>
        </w:rPr>
        <w:t>2034</w:t>
      </w:r>
      <w:r w:rsidRPr="001A7D47">
        <w:rPr>
          <w:rFonts w:ascii="Arial" w:hAnsi="Arial" w:cs="Arial"/>
          <w:sz w:val="24"/>
          <w:szCs w:val="24"/>
          <w:lang w:val="el-GR"/>
        </w:rPr>
        <w:t xml:space="preserve">  βρίσκεται στον πιο κάτω σύνδεσμο:</w:t>
      </w:r>
      <w:r w:rsidR="004C2F0E" w:rsidRPr="004C2F0E">
        <w:rPr>
          <w:rFonts w:ascii="Arial" w:hAnsi="Arial" w:cs="Arial"/>
          <w:sz w:val="24"/>
          <w:szCs w:val="24"/>
          <w:lang w:val="el-GR"/>
        </w:rPr>
        <w:t>.</w:t>
      </w:r>
    </w:p>
    <w:p w14:paraId="4F642AEC" w14:textId="77777777" w:rsidR="00EF2AFA" w:rsidRPr="00334E1E" w:rsidRDefault="00EF2AFA" w:rsidP="002A0D00">
      <w:pPr>
        <w:spacing w:after="0" w:line="240" w:lineRule="auto"/>
        <w:jc w:val="both"/>
        <w:rPr>
          <w:rFonts w:ascii="Arial" w:hAnsi="Arial" w:cs="Arial"/>
          <w:sz w:val="24"/>
          <w:szCs w:val="24"/>
          <w:lang w:val="el-GR"/>
        </w:rPr>
      </w:pPr>
    </w:p>
    <w:p w14:paraId="0AD24906" w14:textId="55F16C7E" w:rsidR="00EF2AFA" w:rsidRPr="00334E1E" w:rsidRDefault="002E745D" w:rsidP="002A0D00">
      <w:pPr>
        <w:spacing w:after="0" w:line="240" w:lineRule="auto"/>
        <w:jc w:val="both"/>
        <w:rPr>
          <w:rStyle w:val="Hyperlink"/>
          <w:rFonts w:ascii="Arial" w:hAnsi="Arial" w:cs="Arial"/>
          <w:sz w:val="24"/>
          <w:szCs w:val="24"/>
          <w:lang w:val="el-GR"/>
        </w:rPr>
      </w:pPr>
      <w:hyperlink r:id="rId8" w:history="1">
        <w:r w:rsidR="00334E1E" w:rsidRPr="00334E1E">
          <w:rPr>
            <w:rStyle w:val="Hyperlink"/>
            <w:rFonts w:ascii="Arial" w:hAnsi="Arial" w:cs="Arial"/>
            <w:sz w:val="24"/>
            <w:szCs w:val="24"/>
            <w:lang w:val="el-GR"/>
          </w:rPr>
          <w:t>https://eur-lex.europa.eu/legal-content/EN/TXT/?uri=CELEX%3A32019L2034</w:t>
        </w:r>
      </w:hyperlink>
    </w:p>
    <w:p w14:paraId="2A8D2AE6" w14:textId="77777777" w:rsidR="00EA18B6" w:rsidRPr="001A7D47" w:rsidRDefault="00EA18B6" w:rsidP="002A0D00">
      <w:pPr>
        <w:spacing w:after="0" w:line="240" w:lineRule="auto"/>
        <w:jc w:val="both"/>
        <w:rPr>
          <w:rFonts w:ascii="Arial" w:hAnsi="Arial" w:cs="Arial"/>
          <w:sz w:val="24"/>
          <w:szCs w:val="24"/>
          <w:lang w:val="el-GR"/>
        </w:rPr>
      </w:pPr>
    </w:p>
    <w:p w14:paraId="7752254E" w14:textId="27891598" w:rsidR="001455E5" w:rsidRPr="001A7D47" w:rsidRDefault="001455E5" w:rsidP="002A0D00">
      <w:pPr>
        <w:spacing w:after="0" w:line="240" w:lineRule="auto"/>
        <w:jc w:val="both"/>
        <w:rPr>
          <w:rFonts w:ascii="Arial" w:hAnsi="Arial" w:cs="Arial"/>
          <w:sz w:val="24"/>
          <w:szCs w:val="24"/>
          <w:lang w:val="el-GR"/>
        </w:rPr>
      </w:pPr>
      <w:r w:rsidRPr="001A7D47">
        <w:rPr>
          <w:rFonts w:ascii="Arial" w:hAnsi="Arial" w:cs="Arial"/>
          <w:sz w:val="24"/>
          <w:szCs w:val="24"/>
          <w:lang w:val="el-GR"/>
        </w:rPr>
        <w:t>Για</w:t>
      </w:r>
      <w:r w:rsidR="00EA18B6" w:rsidRPr="001A7D47">
        <w:rPr>
          <w:rFonts w:ascii="Arial" w:hAnsi="Arial" w:cs="Arial"/>
          <w:sz w:val="24"/>
          <w:szCs w:val="24"/>
          <w:lang w:val="el-GR"/>
        </w:rPr>
        <w:t xml:space="preserve"> σκοπούς εναρμόνισης</w:t>
      </w:r>
      <w:r w:rsidRPr="001A7D47">
        <w:rPr>
          <w:rFonts w:ascii="Arial" w:hAnsi="Arial" w:cs="Arial"/>
          <w:sz w:val="24"/>
          <w:szCs w:val="24"/>
          <w:lang w:val="el-GR"/>
        </w:rPr>
        <w:t xml:space="preserve"> με την πιο πάνω Οδηγία </w:t>
      </w:r>
      <w:r w:rsidR="009C3B3A">
        <w:rPr>
          <w:rFonts w:ascii="Arial" w:hAnsi="Arial" w:cs="Arial"/>
          <w:sz w:val="24"/>
          <w:szCs w:val="24"/>
          <w:lang w:val="el-GR"/>
        </w:rPr>
        <w:t>έχουν ετοιμαστεί</w:t>
      </w:r>
      <w:r w:rsidRPr="001A7D47">
        <w:rPr>
          <w:rFonts w:ascii="Arial" w:hAnsi="Arial" w:cs="Arial"/>
          <w:sz w:val="24"/>
          <w:szCs w:val="24"/>
          <w:lang w:val="el-GR"/>
        </w:rPr>
        <w:t xml:space="preserve"> τα </w:t>
      </w:r>
      <w:r w:rsidR="00EA18B6" w:rsidRPr="001A7D47">
        <w:rPr>
          <w:rFonts w:ascii="Arial" w:hAnsi="Arial" w:cs="Arial"/>
          <w:sz w:val="24"/>
          <w:szCs w:val="24"/>
          <w:lang w:val="el-GR"/>
        </w:rPr>
        <w:t>ακόλουθα νομοσχέδια</w:t>
      </w:r>
      <w:r w:rsidRPr="001A7D47">
        <w:rPr>
          <w:rFonts w:ascii="Arial" w:hAnsi="Arial" w:cs="Arial"/>
          <w:sz w:val="24"/>
          <w:szCs w:val="24"/>
          <w:lang w:val="el-GR"/>
        </w:rPr>
        <w:t>:</w:t>
      </w:r>
    </w:p>
    <w:p w14:paraId="41EF8829" w14:textId="77777777" w:rsidR="00824A0C" w:rsidRPr="001A7D47" w:rsidRDefault="00824A0C" w:rsidP="002A0D00">
      <w:pPr>
        <w:spacing w:after="0" w:line="240" w:lineRule="auto"/>
        <w:jc w:val="both"/>
        <w:rPr>
          <w:rFonts w:ascii="Arial" w:hAnsi="Arial" w:cs="Arial"/>
          <w:bCs/>
          <w:sz w:val="24"/>
          <w:szCs w:val="24"/>
          <w:lang w:val="el-GR"/>
        </w:rPr>
      </w:pPr>
    </w:p>
    <w:p w14:paraId="01A89A7C" w14:textId="754D9E9B" w:rsidR="00337D60" w:rsidRPr="00337D60" w:rsidRDefault="00337D60" w:rsidP="002A0D00">
      <w:pPr>
        <w:numPr>
          <w:ilvl w:val="0"/>
          <w:numId w:val="8"/>
        </w:numPr>
        <w:spacing w:after="0" w:line="240" w:lineRule="auto"/>
        <w:jc w:val="both"/>
        <w:rPr>
          <w:rFonts w:ascii="Arial" w:hAnsi="Arial" w:cs="Arial"/>
          <w:bCs/>
          <w:sz w:val="24"/>
          <w:szCs w:val="24"/>
          <w:lang w:val="el-GR"/>
        </w:rPr>
      </w:pPr>
      <w:r w:rsidRPr="00337D60">
        <w:rPr>
          <w:rFonts w:ascii="Arial" w:hAnsi="Arial" w:cs="Arial"/>
          <w:bCs/>
          <w:sz w:val="24"/>
          <w:szCs w:val="24"/>
          <w:lang w:val="el-GR"/>
        </w:rPr>
        <w:t>Ο περί Προληπτικής Εποπτείας των ΕΠΕΥ Νόμος του 202</w:t>
      </w:r>
      <w:r w:rsidR="00054D44" w:rsidRPr="00054D44">
        <w:rPr>
          <w:rFonts w:ascii="Arial" w:hAnsi="Arial" w:cs="Arial"/>
          <w:bCs/>
          <w:sz w:val="24"/>
          <w:szCs w:val="24"/>
          <w:lang w:val="el-GR"/>
        </w:rPr>
        <w:t>1</w:t>
      </w:r>
      <w:bookmarkStart w:id="0" w:name="_GoBack"/>
      <w:bookmarkEnd w:id="0"/>
    </w:p>
    <w:p w14:paraId="3C3B4430" w14:textId="0DD0A46B" w:rsidR="00337D60" w:rsidRPr="00337D60" w:rsidRDefault="00337D60" w:rsidP="002A0D00">
      <w:pPr>
        <w:numPr>
          <w:ilvl w:val="0"/>
          <w:numId w:val="8"/>
        </w:numPr>
        <w:spacing w:after="0" w:line="240" w:lineRule="auto"/>
        <w:jc w:val="both"/>
        <w:rPr>
          <w:rFonts w:ascii="Arial" w:hAnsi="Arial" w:cs="Arial"/>
          <w:bCs/>
          <w:sz w:val="24"/>
          <w:szCs w:val="24"/>
          <w:lang w:val="el-GR"/>
        </w:rPr>
      </w:pPr>
      <w:r w:rsidRPr="00337D60">
        <w:rPr>
          <w:rFonts w:ascii="Arial" w:hAnsi="Arial" w:cs="Arial"/>
          <w:bCs/>
          <w:sz w:val="24"/>
          <w:szCs w:val="24"/>
          <w:lang w:val="el-GR"/>
        </w:rPr>
        <w:t>Ο περί Ανοικτού Τύπου Οργανισμών Συλλογικών Επενδύσεων (Τροποποιητικός) Νόμος του 202</w:t>
      </w:r>
      <w:r w:rsidR="00534806">
        <w:rPr>
          <w:rFonts w:ascii="Arial" w:hAnsi="Arial" w:cs="Arial"/>
          <w:bCs/>
          <w:sz w:val="24"/>
          <w:szCs w:val="24"/>
          <w:lang w:val="el-GR"/>
        </w:rPr>
        <w:t>1</w:t>
      </w:r>
    </w:p>
    <w:p w14:paraId="33FFD572" w14:textId="18406089" w:rsidR="00337D60" w:rsidRPr="00337D60" w:rsidRDefault="00337D60" w:rsidP="002A0D00">
      <w:pPr>
        <w:numPr>
          <w:ilvl w:val="0"/>
          <w:numId w:val="8"/>
        </w:numPr>
        <w:spacing w:after="0" w:line="240" w:lineRule="auto"/>
        <w:jc w:val="both"/>
        <w:rPr>
          <w:rFonts w:ascii="Arial" w:hAnsi="Arial" w:cs="Arial"/>
          <w:bCs/>
          <w:sz w:val="24"/>
          <w:szCs w:val="24"/>
          <w:lang w:val="el-GR"/>
        </w:rPr>
      </w:pPr>
      <w:r w:rsidRPr="00337D60">
        <w:rPr>
          <w:rFonts w:ascii="Arial" w:hAnsi="Arial" w:cs="Arial"/>
          <w:bCs/>
          <w:sz w:val="24"/>
          <w:szCs w:val="24"/>
          <w:lang w:val="el-GR"/>
        </w:rPr>
        <w:t>Ο Περί των Διαχειριστών Οργανισμών Εναλλακτικών Επενδύσεων</w:t>
      </w:r>
      <w:r>
        <w:rPr>
          <w:rFonts w:ascii="Arial" w:hAnsi="Arial" w:cs="Arial"/>
          <w:bCs/>
          <w:sz w:val="24"/>
          <w:szCs w:val="24"/>
          <w:lang w:val="el-GR"/>
        </w:rPr>
        <w:t xml:space="preserve"> </w:t>
      </w:r>
      <w:r w:rsidRPr="00337D60">
        <w:rPr>
          <w:rFonts w:ascii="Arial" w:hAnsi="Arial" w:cs="Arial"/>
          <w:bCs/>
          <w:sz w:val="24"/>
          <w:szCs w:val="24"/>
          <w:lang w:val="el-GR"/>
        </w:rPr>
        <w:t>(Τροποποιητικός) Νόμος του 202</w:t>
      </w:r>
      <w:r w:rsidR="00534806">
        <w:rPr>
          <w:rFonts w:ascii="Arial" w:hAnsi="Arial" w:cs="Arial"/>
          <w:bCs/>
          <w:sz w:val="24"/>
          <w:szCs w:val="24"/>
          <w:lang w:val="el-GR"/>
        </w:rPr>
        <w:t>1</w:t>
      </w:r>
    </w:p>
    <w:p w14:paraId="78AC4696" w14:textId="78C41C11" w:rsidR="00337D60" w:rsidRDefault="00337D60" w:rsidP="002A0D00">
      <w:pPr>
        <w:numPr>
          <w:ilvl w:val="0"/>
          <w:numId w:val="9"/>
        </w:numPr>
        <w:spacing w:after="0" w:line="240" w:lineRule="auto"/>
        <w:jc w:val="both"/>
        <w:rPr>
          <w:rFonts w:ascii="Arial" w:hAnsi="Arial" w:cs="Arial"/>
          <w:bCs/>
          <w:sz w:val="24"/>
          <w:szCs w:val="24"/>
          <w:lang w:val="el-GR"/>
        </w:rPr>
      </w:pPr>
      <w:r w:rsidRPr="00337D60">
        <w:rPr>
          <w:rFonts w:ascii="Arial" w:hAnsi="Arial" w:cs="Arial"/>
          <w:bCs/>
          <w:sz w:val="24"/>
          <w:szCs w:val="24"/>
          <w:lang w:val="el-GR"/>
        </w:rPr>
        <w:t>Ο περί της Κεφαλαιακής Επάρκειας των ΕΠΕΥ (Τροποποιητικός) Νόμος του 202</w:t>
      </w:r>
      <w:r w:rsidR="00534806">
        <w:rPr>
          <w:rFonts w:ascii="Arial" w:hAnsi="Arial" w:cs="Arial"/>
          <w:bCs/>
          <w:sz w:val="24"/>
          <w:szCs w:val="24"/>
          <w:lang w:val="el-GR"/>
        </w:rPr>
        <w:t>1</w:t>
      </w:r>
    </w:p>
    <w:p w14:paraId="653FFF4E" w14:textId="441925A9" w:rsidR="00337D60" w:rsidRDefault="00337D60" w:rsidP="002A0D00">
      <w:pPr>
        <w:numPr>
          <w:ilvl w:val="0"/>
          <w:numId w:val="9"/>
        </w:numPr>
        <w:spacing w:after="0" w:line="240" w:lineRule="auto"/>
        <w:jc w:val="both"/>
        <w:rPr>
          <w:rFonts w:ascii="Arial" w:hAnsi="Arial" w:cs="Arial"/>
          <w:bCs/>
          <w:sz w:val="24"/>
          <w:szCs w:val="24"/>
          <w:lang w:val="el-GR"/>
        </w:rPr>
      </w:pPr>
      <w:r w:rsidRPr="00337D60">
        <w:rPr>
          <w:rFonts w:ascii="Arial" w:hAnsi="Arial" w:cs="Arial"/>
          <w:bCs/>
          <w:sz w:val="24"/>
          <w:szCs w:val="24"/>
          <w:lang w:val="el-GR"/>
        </w:rPr>
        <w:t>Ο Περί Εργασιών Πιστωτικών Ιδρυμάτων</w:t>
      </w:r>
      <w:r>
        <w:rPr>
          <w:rFonts w:ascii="Arial" w:hAnsi="Arial" w:cs="Arial"/>
          <w:bCs/>
          <w:sz w:val="24"/>
          <w:szCs w:val="24"/>
          <w:lang w:val="el-GR"/>
        </w:rPr>
        <w:t xml:space="preserve"> (Τροποποιητικός)</w:t>
      </w:r>
      <w:r w:rsidRPr="00337D60">
        <w:rPr>
          <w:rFonts w:ascii="Arial" w:hAnsi="Arial" w:cs="Arial"/>
          <w:bCs/>
          <w:sz w:val="24"/>
          <w:szCs w:val="24"/>
          <w:lang w:val="el-GR"/>
        </w:rPr>
        <w:t xml:space="preserve"> Νόμος</w:t>
      </w:r>
      <w:r>
        <w:rPr>
          <w:rFonts w:ascii="Arial" w:hAnsi="Arial" w:cs="Arial"/>
          <w:bCs/>
          <w:sz w:val="24"/>
          <w:szCs w:val="24"/>
          <w:lang w:val="el-GR"/>
        </w:rPr>
        <w:t xml:space="preserve"> του 202</w:t>
      </w:r>
      <w:r w:rsidR="00534806">
        <w:rPr>
          <w:rFonts w:ascii="Arial" w:hAnsi="Arial" w:cs="Arial"/>
          <w:bCs/>
          <w:sz w:val="24"/>
          <w:szCs w:val="24"/>
          <w:lang w:val="el-GR"/>
        </w:rPr>
        <w:t>1</w:t>
      </w:r>
    </w:p>
    <w:p w14:paraId="4D43F17E" w14:textId="42B497DF" w:rsidR="00337D60" w:rsidRDefault="00337D60" w:rsidP="002A0D00">
      <w:pPr>
        <w:numPr>
          <w:ilvl w:val="0"/>
          <w:numId w:val="9"/>
        </w:numPr>
        <w:spacing w:after="0" w:line="240" w:lineRule="auto"/>
        <w:jc w:val="both"/>
        <w:rPr>
          <w:rFonts w:ascii="Arial" w:hAnsi="Arial" w:cs="Arial"/>
          <w:bCs/>
          <w:sz w:val="24"/>
          <w:szCs w:val="24"/>
          <w:lang w:val="el-GR"/>
        </w:rPr>
      </w:pPr>
      <w:r>
        <w:rPr>
          <w:rFonts w:ascii="Arial" w:hAnsi="Arial" w:cs="Arial"/>
          <w:bCs/>
          <w:sz w:val="24"/>
          <w:szCs w:val="24"/>
          <w:lang w:val="el-GR"/>
        </w:rPr>
        <w:t xml:space="preserve">Ο </w:t>
      </w:r>
      <w:r w:rsidRPr="00337D60">
        <w:rPr>
          <w:rFonts w:ascii="Arial" w:hAnsi="Arial" w:cs="Arial"/>
          <w:bCs/>
          <w:sz w:val="24"/>
          <w:szCs w:val="24"/>
          <w:lang w:val="el-GR"/>
        </w:rPr>
        <w:t>Περί Μακροπροληπτικής Εποπτείας των Ιδρυμάτων</w:t>
      </w:r>
      <w:r>
        <w:rPr>
          <w:rFonts w:ascii="Arial" w:hAnsi="Arial" w:cs="Arial"/>
          <w:bCs/>
          <w:sz w:val="24"/>
          <w:szCs w:val="24"/>
          <w:lang w:val="el-GR"/>
        </w:rPr>
        <w:t xml:space="preserve"> (Τροποποιητικός)</w:t>
      </w:r>
      <w:r w:rsidRPr="00337D60">
        <w:rPr>
          <w:rFonts w:ascii="Arial" w:hAnsi="Arial" w:cs="Arial"/>
          <w:bCs/>
          <w:sz w:val="24"/>
          <w:szCs w:val="24"/>
          <w:lang w:val="el-GR"/>
        </w:rPr>
        <w:t xml:space="preserve"> Νόμος</w:t>
      </w:r>
      <w:r>
        <w:rPr>
          <w:rFonts w:ascii="Arial" w:hAnsi="Arial" w:cs="Arial"/>
          <w:bCs/>
          <w:sz w:val="24"/>
          <w:szCs w:val="24"/>
          <w:lang w:val="el-GR"/>
        </w:rPr>
        <w:t xml:space="preserve"> του 202</w:t>
      </w:r>
      <w:r w:rsidR="00534806">
        <w:rPr>
          <w:rFonts w:ascii="Arial" w:hAnsi="Arial" w:cs="Arial"/>
          <w:bCs/>
          <w:sz w:val="24"/>
          <w:szCs w:val="24"/>
          <w:lang w:val="el-GR"/>
        </w:rPr>
        <w:t>1</w:t>
      </w:r>
    </w:p>
    <w:p w14:paraId="041CCFF9" w14:textId="32D5DCD6" w:rsidR="00337D60" w:rsidRPr="00337D60" w:rsidRDefault="00337D60" w:rsidP="002A0D00">
      <w:pPr>
        <w:numPr>
          <w:ilvl w:val="0"/>
          <w:numId w:val="9"/>
        </w:numPr>
        <w:spacing w:after="0" w:line="240" w:lineRule="auto"/>
        <w:jc w:val="both"/>
        <w:rPr>
          <w:rFonts w:ascii="Arial" w:hAnsi="Arial" w:cs="Arial"/>
          <w:bCs/>
          <w:sz w:val="24"/>
          <w:szCs w:val="24"/>
          <w:lang w:val="el-GR"/>
        </w:rPr>
      </w:pPr>
      <w:r w:rsidRPr="00337D60">
        <w:rPr>
          <w:rFonts w:ascii="Arial" w:hAnsi="Arial" w:cs="Arial"/>
          <w:bCs/>
          <w:sz w:val="24"/>
          <w:szCs w:val="24"/>
          <w:lang w:val="el-GR"/>
        </w:rPr>
        <w:t>Ο περί Εξυγίανσης Πιστωτικών Ιδρυμάτων και Επενδυτικών Εταιρειών (Τροποποιητικός) Νόμος του 202</w:t>
      </w:r>
      <w:r w:rsidR="00534806">
        <w:rPr>
          <w:rFonts w:ascii="Arial" w:hAnsi="Arial" w:cs="Arial"/>
          <w:bCs/>
          <w:sz w:val="24"/>
          <w:szCs w:val="24"/>
          <w:lang w:val="el-GR"/>
        </w:rPr>
        <w:t>1</w:t>
      </w:r>
    </w:p>
    <w:p w14:paraId="60633116" w14:textId="16F6FD71" w:rsidR="00337D60" w:rsidRPr="00337D60" w:rsidRDefault="00337D60" w:rsidP="002A0D00">
      <w:pPr>
        <w:numPr>
          <w:ilvl w:val="0"/>
          <w:numId w:val="9"/>
        </w:numPr>
        <w:spacing w:after="0" w:line="240" w:lineRule="auto"/>
        <w:jc w:val="both"/>
        <w:rPr>
          <w:rFonts w:ascii="Arial" w:hAnsi="Arial" w:cs="Arial"/>
          <w:b/>
          <w:bCs/>
          <w:sz w:val="24"/>
          <w:szCs w:val="24"/>
          <w:u w:val="single"/>
          <w:lang w:val="el-GR"/>
        </w:rPr>
      </w:pPr>
      <w:r w:rsidRPr="00337D60">
        <w:rPr>
          <w:rFonts w:ascii="Arial" w:hAnsi="Arial" w:cs="Arial"/>
          <w:bCs/>
          <w:sz w:val="24"/>
          <w:szCs w:val="24"/>
          <w:lang w:val="el-GR"/>
        </w:rPr>
        <w:t>Ο περί  Επενδυτικών Υπηρεσιών και Δραστηριοτήτων και Ρυθμιζόμενων Αγορών (Τροποποιητικός) Νόμος του 202</w:t>
      </w:r>
      <w:r w:rsidR="00534806">
        <w:rPr>
          <w:rFonts w:ascii="Arial" w:hAnsi="Arial" w:cs="Arial"/>
          <w:bCs/>
          <w:sz w:val="24"/>
          <w:szCs w:val="24"/>
          <w:lang w:val="el-GR"/>
        </w:rPr>
        <w:t>1</w:t>
      </w:r>
    </w:p>
    <w:p w14:paraId="4AD7B730" w14:textId="77777777" w:rsidR="001131BA" w:rsidRPr="001A7D47" w:rsidRDefault="001131BA" w:rsidP="002A0D00">
      <w:pPr>
        <w:spacing w:after="0" w:line="240" w:lineRule="auto"/>
        <w:jc w:val="both"/>
        <w:rPr>
          <w:rFonts w:ascii="Arial" w:hAnsi="Arial" w:cs="Arial"/>
          <w:sz w:val="24"/>
          <w:szCs w:val="24"/>
          <w:lang w:val="el-GR"/>
        </w:rPr>
      </w:pPr>
    </w:p>
    <w:p w14:paraId="445EA155" w14:textId="6FC95914" w:rsidR="00CA4C3E" w:rsidRPr="001A7D47" w:rsidRDefault="00EA18B6" w:rsidP="002A0D00">
      <w:pPr>
        <w:spacing w:after="0" w:line="240" w:lineRule="auto"/>
        <w:jc w:val="both"/>
        <w:rPr>
          <w:rFonts w:ascii="Arial" w:hAnsi="Arial" w:cs="Arial"/>
          <w:sz w:val="24"/>
          <w:szCs w:val="24"/>
          <w:lang w:val="el-GR"/>
        </w:rPr>
      </w:pPr>
      <w:r w:rsidRPr="001A7D47">
        <w:rPr>
          <w:rFonts w:ascii="Arial" w:hAnsi="Arial" w:cs="Arial"/>
          <w:sz w:val="24"/>
          <w:szCs w:val="24"/>
          <w:lang w:val="el-GR"/>
        </w:rPr>
        <w:t>Τα πιο πάνω νομοσχέδια μεταφέρου</w:t>
      </w:r>
      <w:r w:rsidR="00EF2AFA" w:rsidRPr="001A7D47">
        <w:rPr>
          <w:rFonts w:ascii="Arial" w:hAnsi="Arial" w:cs="Arial"/>
          <w:sz w:val="24"/>
          <w:szCs w:val="24"/>
          <w:lang w:val="el-GR"/>
        </w:rPr>
        <w:t>ν</w:t>
      </w:r>
      <w:r w:rsidRPr="001A7D47">
        <w:rPr>
          <w:rFonts w:ascii="Arial" w:hAnsi="Arial" w:cs="Arial"/>
          <w:sz w:val="24"/>
          <w:szCs w:val="24"/>
          <w:lang w:val="el-GR"/>
        </w:rPr>
        <w:t xml:space="preserve"> τις διατάξεις της Οδηγίας που είναι υποχρεωτική η εφαρμογή τους από τα κράτη μέλη καθώς και </w:t>
      </w:r>
      <w:r w:rsidR="009A437C" w:rsidRPr="001A7D47">
        <w:rPr>
          <w:rFonts w:ascii="Arial" w:hAnsi="Arial" w:cs="Arial"/>
          <w:sz w:val="24"/>
          <w:szCs w:val="24"/>
          <w:lang w:val="el-GR"/>
        </w:rPr>
        <w:t xml:space="preserve">τις </w:t>
      </w:r>
      <w:r w:rsidRPr="001A7D47">
        <w:rPr>
          <w:rFonts w:ascii="Arial" w:hAnsi="Arial" w:cs="Arial"/>
          <w:sz w:val="24"/>
          <w:szCs w:val="24"/>
          <w:lang w:val="el-GR"/>
        </w:rPr>
        <w:t xml:space="preserve">διατάξεις που αφορούν διακριτικές ευχέρειες των κρατών μελών. </w:t>
      </w:r>
      <w:r w:rsidR="00CA4C3E" w:rsidRPr="001A7D47">
        <w:rPr>
          <w:rFonts w:ascii="Arial" w:hAnsi="Arial" w:cs="Arial"/>
          <w:sz w:val="24"/>
          <w:szCs w:val="24"/>
          <w:lang w:val="el-GR"/>
        </w:rPr>
        <w:t xml:space="preserve">Η παρούσα δημόσια διαβούλευση πραγματοποιείται </w:t>
      </w:r>
      <w:r w:rsidRPr="001A7D47">
        <w:rPr>
          <w:rFonts w:ascii="Arial" w:hAnsi="Arial" w:cs="Arial"/>
          <w:sz w:val="24"/>
          <w:szCs w:val="24"/>
          <w:lang w:val="el-GR"/>
        </w:rPr>
        <w:t xml:space="preserve">μόνο </w:t>
      </w:r>
      <w:r w:rsidR="00CA4C3E" w:rsidRPr="001A7D47">
        <w:rPr>
          <w:rFonts w:ascii="Arial" w:hAnsi="Arial" w:cs="Arial"/>
          <w:sz w:val="24"/>
          <w:szCs w:val="24"/>
          <w:lang w:val="el-GR"/>
        </w:rPr>
        <w:t>για τις διακριτικές ευχέρειες της Οδηγίας (ΕΕ) 2019/</w:t>
      </w:r>
      <w:r w:rsidR="00337D60">
        <w:rPr>
          <w:rFonts w:ascii="Arial" w:hAnsi="Arial" w:cs="Arial"/>
          <w:sz w:val="24"/>
          <w:szCs w:val="24"/>
          <w:lang w:val="el-GR"/>
        </w:rPr>
        <w:t>2034</w:t>
      </w:r>
      <w:r w:rsidRPr="001A7D47">
        <w:rPr>
          <w:rFonts w:ascii="Arial" w:hAnsi="Arial" w:cs="Arial"/>
          <w:sz w:val="24"/>
          <w:szCs w:val="24"/>
          <w:lang w:val="el-GR"/>
        </w:rPr>
        <w:t xml:space="preserve"> οι οποίες</w:t>
      </w:r>
      <w:r w:rsidR="00CA4C3E" w:rsidRPr="001A7D47">
        <w:rPr>
          <w:rFonts w:ascii="Arial" w:hAnsi="Arial" w:cs="Arial"/>
          <w:sz w:val="24"/>
          <w:szCs w:val="24"/>
          <w:lang w:val="el-GR"/>
        </w:rPr>
        <w:t xml:space="preserve"> φαίνονται στον </w:t>
      </w:r>
      <w:r w:rsidR="009A437C" w:rsidRPr="001A7D47">
        <w:rPr>
          <w:rFonts w:ascii="Arial" w:hAnsi="Arial" w:cs="Arial"/>
          <w:sz w:val="24"/>
          <w:szCs w:val="24"/>
          <w:lang w:val="el-GR"/>
        </w:rPr>
        <w:t>συνημμένο</w:t>
      </w:r>
      <w:r w:rsidR="00CA4C3E" w:rsidRPr="001A7D47">
        <w:rPr>
          <w:rFonts w:ascii="Arial" w:hAnsi="Arial" w:cs="Arial"/>
          <w:sz w:val="24"/>
          <w:szCs w:val="24"/>
          <w:lang w:val="el-GR"/>
        </w:rPr>
        <w:t xml:space="preserve"> Πίνακα</w:t>
      </w:r>
      <w:r w:rsidR="009A437C" w:rsidRPr="001A7D47">
        <w:rPr>
          <w:rFonts w:ascii="Arial" w:hAnsi="Arial" w:cs="Arial"/>
          <w:sz w:val="24"/>
          <w:szCs w:val="24"/>
          <w:lang w:val="el-GR"/>
        </w:rPr>
        <w:t xml:space="preserve"> (Συνημμένο 1)</w:t>
      </w:r>
      <w:r w:rsidR="00CA4C3E" w:rsidRPr="001A7D47">
        <w:rPr>
          <w:rFonts w:ascii="Arial" w:hAnsi="Arial" w:cs="Arial"/>
          <w:sz w:val="24"/>
          <w:szCs w:val="24"/>
          <w:lang w:val="el-GR"/>
        </w:rPr>
        <w:t>.</w:t>
      </w:r>
    </w:p>
    <w:p w14:paraId="7D6017E9" w14:textId="77777777" w:rsidR="001D07D2" w:rsidRPr="001A7D47" w:rsidRDefault="001D07D2" w:rsidP="002A0D00">
      <w:pPr>
        <w:spacing w:after="0" w:line="240" w:lineRule="auto"/>
        <w:jc w:val="both"/>
        <w:rPr>
          <w:rFonts w:ascii="Arial" w:hAnsi="Arial" w:cs="Arial"/>
          <w:sz w:val="24"/>
          <w:szCs w:val="24"/>
          <w:highlight w:val="yellow"/>
          <w:lang w:val="el-GR"/>
        </w:rPr>
      </w:pPr>
    </w:p>
    <w:p w14:paraId="6A824445" w14:textId="03DD04C4" w:rsidR="001D07D2" w:rsidRPr="001A7D47" w:rsidRDefault="005E0555" w:rsidP="002A0D00">
      <w:pPr>
        <w:spacing w:after="0" w:line="240" w:lineRule="auto"/>
        <w:jc w:val="both"/>
        <w:rPr>
          <w:rFonts w:ascii="Arial" w:hAnsi="Arial" w:cs="Arial"/>
          <w:b/>
          <w:sz w:val="24"/>
          <w:szCs w:val="24"/>
          <w:lang w:val="el-GR"/>
        </w:rPr>
      </w:pPr>
      <w:r w:rsidRPr="001A7D47">
        <w:rPr>
          <w:rFonts w:ascii="Arial" w:hAnsi="Arial" w:cs="Arial"/>
          <w:b/>
          <w:sz w:val="24"/>
          <w:szCs w:val="24"/>
          <w:lang w:val="el-GR"/>
        </w:rPr>
        <w:t>Τ</w:t>
      </w:r>
      <w:r w:rsidR="001D07D2" w:rsidRPr="001A7D47">
        <w:rPr>
          <w:rFonts w:ascii="Arial" w:hAnsi="Arial" w:cs="Arial"/>
          <w:b/>
          <w:sz w:val="24"/>
          <w:szCs w:val="24"/>
          <w:lang w:val="el-GR"/>
        </w:rPr>
        <w:t xml:space="preserve">ο Υπουργείο Οικονομικών σας καλεί όπως υποβάλετε τα σχόλια ή απόψεις σας, σε </w:t>
      </w:r>
      <w:r w:rsidR="001D07D2" w:rsidRPr="001A7D47">
        <w:rPr>
          <w:rFonts w:ascii="Arial" w:hAnsi="Arial" w:cs="Arial"/>
          <w:b/>
          <w:sz w:val="24"/>
          <w:szCs w:val="24"/>
          <w:u w:val="single"/>
        </w:rPr>
        <w:t>Word</w:t>
      </w:r>
      <w:r w:rsidR="001D07D2" w:rsidRPr="001A7D47">
        <w:rPr>
          <w:rFonts w:ascii="Arial" w:hAnsi="Arial" w:cs="Arial"/>
          <w:b/>
          <w:sz w:val="24"/>
          <w:szCs w:val="24"/>
          <w:u w:val="single"/>
          <w:lang w:val="el-GR"/>
        </w:rPr>
        <w:t xml:space="preserve"> </w:t>
      </w:r>
      <w:r w:rsidR="001D07D2" w:rsidRPr="001A7D47">
        <w:rPr>
          <w:rFonts w:ascii="Arial" w:hAnsi="Arial" w:cs="Arial"/>
          <w:b/>
          <w:sz w:val="24"/>
          <w:szCs w:val="24"/>
          <w:u w:val="single"/>
        </w:rPr>
        <w:t>format</w:t>
      </w:r>
      <w:r w:rsidR="001D07D2" w:rsidRPr="001A7D47">
        <w:rPr>
          <w:rFonts w:ascii="Arial" w:hAnsi="Arial" w:cs="Arial"/>
          <w:b/>
          <w:sz w:val="24"/>
          <w:szCs w:val="24"/>
          <w:lang w:val="el-GR"/>
        </w:rPr>
        <w:t xml:space="preserve">, μέχρι </w:t>
      </w:r>
      <w:r w:rsidRPr="001A7D47">
        <w:rPr>
          <w:rFonts w:ascii="Arial" w:hAnsi="Arial" w:cs="Arial"/>
          <w:b/>
          <w:sz w:val="24"/>
          <w:szCs w:val="24"/>
          <w:lang w:val="el-GR"/>
        </w:rPr>
        <w:t xml:space="preserve">τις </w:t>
      </w:r>
      <w:r w:rsidR="00337D60">
        <w:rPr>
          <w:rFonts w:ascii="Arial" w:hAnsi="Arial" w:cs="Arial"/>
          <w:b/>
          <w:sz w:val="24"/>
          <w:szCs w:val="24"/>
          <w:lang w:val="el-GR"/>
        </w:rPr>
        <w:t>25</w:t>
      </w:r>
      <w:r w:rsidRPr="001A7D47">
        <w:rPr>
          <w:rFonts w:ascii="Arial" w:hAnsi="Arial" w:cs="Arial"/>
          <w:b/>
          <w:sz w:val="24"/>
          <w:szCs w:val="24"/>
          <w:lang w:val="el-GR"/>
        </w:rPr>
        <w:t>/</w:t>
      </w:r>
      <w:r w:rsidR="00337D60">
        <w:rPr>
          <w:rFonts w:ascii="Arial" w:hAnsi="Arial" w:cs="Arial"/>
          <w:b/>
          <w:sz w:val="24"/>
          <w:szCs w:val="24"/>
          <w:lang w:val="el-GR"/>
        </w:rPr>
        <w:t>8</w:t>
      </w:r>
      <w:r w:rsidRPr="001A7D47">
        <w:rPr>
          <w:rFonts w:ascii="Arial" w:hAnsi="Arial" w:cs="Arial"/>
          <w:b/>
          <w:sz w:val="24"/>
          <w:szCs w:val="24"/>
          <w:lang w:val="el-GR"/>
        </w:rPr>
        <w:t>/2020</w:t>
      </w:r>
      <w:r w:rsidR="001D07D2" w:rsidRPr="001A7D47">
        <w:rPr>
          <w:rFonts w:ascii="Arial" w:hAnsi="Arial" w:cs="Arial"/>
          <w:b/>
          <w:sz w:val="24"/>
          <w:szCs w:val="24"/>
          <w:lang w:val="el-GR"/>
        </w:rPr>
        <w:t xml:space="preserve"> στην ηλεκτρονική διεύθυνσ</w:t>
      </w:r>
      <w:r w:rsidR="00A27B72" w:rsidRPr="001A7D47">
        <w:rPr>
          <w:rFonts w:ascii="Arial" w:hAnsi="Arial" w:cs="Arial"/>
          <w:b/>
          <w:sz w:val="24"/>
          <w:szCs w:val="24"/>
          <w:lang w:val="el-GR"/>
        </w:rPr>
        <w:t xml:space="preserve">η </w:t>
      </w:r>
      <w:hyperlink r:id="rId9" w:history="1">
        <w:r w:rsidR="00A27B72" w:rsidRPr="001A7D47">
          <w:rPr>
            <w:rStyle w:val="Hyperlink"/>
            <w:rFonts w:ascii="Arial" w:hAnsi="Arial" w:cs="Arial"/>
            <w:b/>
            <w:sz w:val="24"/>
            <w:szCs w:val="24"/>
            <w:lang w:val="en-GB"/>
          </w:rPr>
          <w:t>psiakallis</w:t>
        </w:r>
        <w:r w:rsidR="00A27B72" w:rsidRPr="001A7D47">
          <w:rPr>
            <w:rStyle w:val="Hyperlink"/>
            <w:rFonts w:ascii="Arial" w:hAnsi="Arial" w:cs="Arial"/>
            <w:b/>
            <w:sz w:val="24"/>
            <w:szCs w:val="24"/>
            <w:lang w:val="el-GR"/>
          </w:rPr>
          <w:t>@</w:t>
        </w:r>
        <w:r w:rsidR="00A27B72" w:rsidRPr="001A7D47">
          <w:rPr>
            <w:rStyle w:val="Hyperlink"/>
            <w:rFonts w:ascii="Arial" w:hAnsi="Arial" w:cs="Arial"/>
            <w:b/>
            <w:sz w:val="24"/>
            <w:szCs w:val="24"/>
            <w:lang w:val="en-GB"/>
          </w:rPr>
          <w:t>mof</w:t>
        </w:r>
        <w:r w:rsidR="00A27B72" w:rsidRPr="001A7D47">
          <w:rPr>
            <w:rStyle w:val="Hyperlink"/>
            <w:rFonts w:ascii="Arial" w:hAnsi="Arial" w:cs="Arial"/>
            <w:b/>
            <w:sz w:val="24"/>
            <w:szCs w:val="24"/>
            <w:lang w:val="el-GR"/>
          </w:rPr>
          <w:t>.</w:t>
        </w:r>
        <w:r w:rsidR="00A27B72" w:rsidRPr="001A7D47">
          <w:rPr>
            <w:rStyle w:val="Hyperlink"/>
            <w:rFonts w:ascii="Arial" w:hAnsi="Arial" w:cs="Arial"/>
            <w:b/>
            <w:sz w:val="24"/>
            <w:szCs w:val="24"/>
            <w:lang w:val="en-GB"/>
          </w:rPr>
          <w:t>gov</w:t>
        </w:r>
        <w:r w:rsidR="00A27B72" w:rsidRPr="001A7D47">
          <w:rPr>
            <w:rStyle w:val="Hyperlink"/>
            <w:rFonts w:ascii="Arial" w:hAnsi="Arial" w:cs="Arial"/>
            <w:b/>
            <w:sz w:val="24"/>
            <w:szCs w:val="24"/>
            <w:lang w:val="el-GR"/>
          </w:rPr>
          <w:t>.</w:t>
        </w:r>
        <w:r w:rsidR="00A27B72" w:rsidRPr="001A7D47">
          <w:rPr>
            <w:rStyle w:val="Hyperlink"/>
            <w:rFonts w:ascii="Arial" w:hAnsi="Arial" w:cs="Arial"/>
            <w:b/>
            <w:sz w:val="24"/>
            <w:szCs w:val="24"/>
            <w:lang w:val="en-GB"/>
          </w:rPr>
          <w:t>cy</w:t>
        </w:r>
      </w:hyperlink>
      <w:r w:rsidR="00A27B72" w:rsidRPr="001A7D47">
        <w:rPr>
          <w:rFonts w:ascii="Arial" w:hAnsi="Arial" w:cs="Arial"/>
          <w:b/>
          <w:sz w:val="24"/>
          <w:szCs w:val="24"/>
          <w:lang w:val="el-GR"/>
        </w:rPr>
        <w:t xml:space="preserve"> .</w:t>
      </w:r>
    </w:p>
    <w:p w14:paraId="22820A5F" w14:textId="77777777" w:rsidR="001D07D2" w:rsidRPr="001A7D47" w:rsidRDefault="001D07D2" w:rsidP="001D07D2">
      <w:pPr>
        <w:spacing w:after="0" w:line="240" w:lineRule="auto"/>
        <w:jc w:val="both"/>
        <w:rPr>
          <w:rFonts w:ascii="Arial" w:hAnsi="Arial" w:cs="Arial"/>
          <w:sz w:val="24"/>
          <w:szCs w:val="24"/>
          <w:lang w:val="el-GR"/>
        </w:rPr>
      </w:pPr>
    </w:p>
    <w:p w14:paraId="71D4A94A" w14:textId="77777777" w:rsidR="001D07D2" w:rsidRPr="001A7D47" w:rsidRDefault="001D07D2" w:rsidP="001D07D2">
      <w:pPr>
        <w:spacing w:after="0" w:line="240" w:lineRule="auto"/>
        <w:jc w:val="right"/>
        <w:rPr>
          <w:rFonts w:ascii="Arial" w:hAnsi="Arial" w:cs="Arial"/>
          <w:sz w:val="24"/>
          <w:szCs w:val="24"/>
          <w:lang w:val="el-GR"/>
        </w:rPr>
      </w:pPr>
    </w:p>
    <w:p w14:paraId="066F605E" w14:textId="26ADBD4D" w:rsidR="001D07D2" w:rsidRPr="001A7D47" w:rsidRDefault="001D07D2" w:rsidP="001D07D2">
      <w:pPr>
        <w:spacing w:after="0" w:line="240" w:lineRule="auto"/>
        <w:jc w:val="right"/>
        <w:rPr>
          <w:rFonts w:ascii="Arial" w:hAnsi="Arial" w:cs="Arial"/>
          <w:sz w:val="24"/>
          <w:szCs w:val="24"/>
          <w:lang w:val="el-GR"/>
        </w:rPr>
      </w:pPr>
      <w:r w:rsidRPr="001A7D47">
        <w:rPr>
          <w:rFonts w:ascii="Arial" w:hAnsi="Arial" w:cs="Arial"/>
          <w:sz w:val="24"/>
          <w:szCs w:val="24"/>
          <w:lang w:val="el-GR"/>
        </w:rPr>
        <w:t xml:space="preserve">Λευκωσία, </w:t>
      </w:r>
      <w:r w:rsidR="009C3B3A">
        <w:rPr>
          <w:rFonts w:ascii="Arial" w:hAnsi="Arial" w:cs="Arial"/>
          <w:sz w:val="24"/>
          <w:szCs w:val="24"/>
          <w:lang w:val="el-GR"/>
        </w:rPr>
        <w:t>6</w:t>
      </w:r>
      <w:r w:rsidR="005E0555" w:rsidRPr="001A7D47">
        <w:rPr>
          <w:rFonts w:ascii="Arial" w:hAnsi="Arial" w:cs="Arial"/>
          <w:sz w:val="24"/>
          <w:szCs w:val="24"/>
          <w:lang w:val="el-GR"/>
        </w:rPr>
        <w:t xml:space="preserve"> </w:t>
      </w:r>
      <w:r w:rsidR="00337D60">
        <w:rPr>
          <w:rFonts w:ascii="Arial" w:hAnsi="Arial" w:cs="Arial"/>
          <w:sz w:val="24"/>
          <w:szCs w:val="24"/>
          <w:lang w:val="el-GR"/>
        </w:rPr>
        <w:t>Αυγούστου</w:t>
      </w:r>
      <w:r w:rsidR="005E0555" w:rsidRPr="001A7D47">
        <w:rPr>
          <w:rFonts w:ascii="Arial" w:hAnsi="Arial" w:cs="Arial"/>
          <w:sz w:val="24"/>
          <w:szCs w:val="24"/>
          <w:lang w:val="el-GR"/>
        </w:rPr>
        <w:t xml:space="preserve"> </w:t>
      </w:r>
      <w:r w:rsidRPr="001A7D47">
        <w:rPr>
          <w:rFonts w:ascii="Arial" w:hAnsi="Arial" w:cs="Arial"/>
          <w:sz w:val="24"/>
          <w:szCs w:val="24"/>
          <w:lang w:val="el-GR"/>
        </w:rPr>
        <w:t>20</w:t>
      </w:r>
      <w:r w:rsidR="00AF3B5C" w:rsidRPr="001A7D47">
        <w:rPr>
          <w:rFonts w:ascii="Arial" w:hAnsi="Arial" w:cs="Arial"/>
          <w:sz w:val="24"/>
          <w:szCs w:val="24"/>
          <w:lang w:val="el-GR"/>
        </w:rPr>
        <w:t>20</w:t>
      </w:r>
    </w:p>
    <w:p w14:paraId="4393950B" w14:textId="77777777" w:rsidR="00337D60" w:rsidRDefault="00337D60" w:rsidP="009A437C">
      <w:pPr>
        <w:spacing w:after="160" w:line="259" w:lineRule="auto"/>
        <w:rPr>
          <w:rFonts w:ascii="Calibri" w:eastAsia="Calibri" w:hAnsi="Calibri" w:cs="Times New Roman"/>
          <w:b/>
          <w:u w:val="single"/>
          <w:lang w:val="el-GR"/>
        </w:rPr>
      </w:pPr>
    </w:p>
    <w:p w14:paraId="32985B18" w14:textId="77777777" w:rsidR="00534806" w:rsidRDefault="00534806" w:rsidP="009A437C">
      <w:pPr>
        <w:spacing w:after="160" w:line="259" w:lineRule="auto"/>
        <w:rPr>
          <w:rFonts w:ascii="Arial" w:eastAsia="Calibri" w:hAnsi="Arial" w:cs="Arial"/>
          <w:b/>
          <w:sz w:val="24"/>
          <w:szCs w:val="24"/>
          <w:u w:val="single"/>
          <w:lang w:val="el-GR"/>
        </w:rPr>
      </w:pPr>
    </w:p>
    <w:p w14:paraId="782CDB45" w14:textId="77777777" w:rsidR="00534806" w:rsidRDefault="00534806" w:rsidP="009A437C">
      <w:pPr>
        <w:spacing w:after="160" w:line="259" w:lineRule="auto"/>
        <w:rPr>
          <w:rFonts w:ascii="Arial" w:eastAsia="Calibri" w:hAnsi="Arial" w:cs="Arial"/>
          <w:b/>
          <w:sz w:val="24"/>
          <w:szCs w:val="24"/>
          <w:u w:val="single"/>
          <w:lang w:val="el-GR"/>
        </w:rPr>
      </w:pPr>
    </w:p>
    <w:p w14:paraId="44353B56" w14:textId="77777777" w:rsidR="00534806" w:rsidRDefault="00534806" w:rsidP="009A437C">
      <w:pPr>
        <w:spacing w:after="160" w:line="259" w:lineRule="auto"/>
        <w:rPr>
          <w:rFonts w:ascii="Arial" w:eastAsia="Calibri" w:hAnsi="Arial" w:cs="Arial"/>
          <w:b/>
          <w:sz w:val="24"/>
          <w:szCs w:val="24"/>
          <w:u w:val="single"/>
          <w:lang w:val="el-GR"/>
        </w:rPr>
      </w:pPr>
    </w:p>
    <w:p w14:paraId="2710D970" w14:textId="1A909A3D" w:rsidR="00534806" w:rsidRDefault="00534806" w:rsidP="009A437C">
      <w:pPr>
        <w:spacing w:after="160" w:line="259" w:lineRule="auto"/>
        <w:rPr>
          <w:rFonts w:ascii="Arial" w:eastAsia="Calibri" w:hAnsi="Arial" w:cs="Arial"/>
          <w:b/>
          <w:sz w:val="24"/>
          <w:szCs w:val="24"/>
          <w:u w:val="single"/>
          <w:lang w:val="el-GR"/>
        </w:rPr>
      </w:pPr>
    </w:p>
    <w:p w14:paraId="3879DF11" w14:textId="77777777" w:rsidR="009C0694" w:rsidRDefault="009C0694" w:rsidP="009A437C">
      <w:pPr>
        <w:spacing w:after="160" w:line="259" w:lineRule="auto"/>
        <w:rPr>
          <w:rFonts w:ascii="Arial" w:eastAsia="Calibri" w:hAnsi="Arial" w:cs="Arial"/>
          <w:b/>
          <w:sz w:val="24"/>
          <w:szCs w:val="24"/>
          <w:u w:val="single"/>
          <w:lang w:val="el-GR"/>
        </w:rPr>
      </w:pPr>
    </w:p>
    <w:p w14:paraId="3BF30136" w14:textId="77777777" w:rsidR="002A0D00" w:rsidRDefault="002A0D00" w:rsidP="009A437C">
      <w:pPr>
        <w:spacing w:after="160" w:line="259" w:lineRule="auto"/>
        <w:rPr>
          <w:rFonts w:ascii="Arial" w:eastAsia="Calibri" w:hAnsi="Arial" w:cs="Arial"/>
          <w:b/>
          <w:sz w:val="24"/>
          <w:szCs w:val="24"/>
          <w:u w:val="single"/>
          <w:lang w:val="el-GR"/>
        </w:rPr>
      </w:pPr>
    </w:p>
    <w:p w14:paraId="5C346286" w14:textId="1675B024" w:rsidR="00517E45" w:rsidRPr="00A27B72" w:rsidRDefault="009A437C" w:rsidP="009A437C">
      <w:pPr>
        <w:spacing w:after="160" w:line="259" w:lineRule="auto"/>
        <w:rPr>
          <w:rFonts w:ascii="Arial" w:eastAsia="Calibri" w:hAnsi="Arial" w:cs="Arial"/>
          <w:b/>
          <w:sz w:val="24"/>
          <w:szCs w:val="24"/>
          <w:u w:val="single"/>
          <w:lang w:val="el-GR"/>
        </w:rPr>
      </w:pPr>
      <w:r w:rsidRPr="00A27B72">
        <w:rPr>
          <w:rFonts w:ascii="Arial" w:eastAsia="Calibri" w:hAnsi="Arial" w:cs="Arial"/>
          <w:b/>
          <w:sz w:val="24"/>
          <w:szCs w:val="24"/>
          <w:u w:val="single"/>
          <w:lang w:val="el-GR"/>
        </w:rPr>
        <w:t>ΣΥΝΗΜΜΕΝΟ 1</w:t>
      </w:r>
    </w:p>
    <w:p w14:paraId="11B51857" w14:textId="77777777" w:rsidR="009A437C" w:rsidRPr="00A27B72" w:rsidRDefault="009A437C" w:rsidP="00517E45">
      <w:pPr>
        <w:spacing w:after="0" w:line="360" w:lineRule="auto"/>
        <w:jc w:val="center"/>
        <w:rPr>
          <w:rFonts w:ascii="Arial" w:eastAsia="Times New Roman" w:hAnsi="Arial" w:cs="Arial"/>
          <w:b/>
          <w:sz w:val="24"/>
          <w:szCs w:val="24"/>
          <w:lang w:val="el-GR"/>
        </w:rPr>
      </w:pPr>
    </w:p>
    <w:p w14:paraId="60B49E65" w14:textId="52832838" w:rsidR="00517E45" w:rsidRDefault="008C4737" w:rsidP="005C6B50">
      <w:pPr>
        <w:spacing w:after="0" w:line="360" w:lineRule="auto"/>
        <w:jc w:val="center"/>
        <w:rPr>
          <w:rFonts w:ascii="Arial" w:eastAsia="Times New Roman" w:hAnsi="Arial" w:cs="Arial"/>
          <w:b/>
          <w:sz w:val="24"/>
          <w:szCs w:val="24"/>
          <w:lang w:val="el-GR"/>
        </w:rPr>
      </w:pPr>
      <w:r w:rsidRPr="00A27B72">
        <w:rPr>
          <w:rFonts w:ascii="Arial" w:eastAsia="Times New Roman" w:hAnsi="Arial" w:cs="Arial"/>
          <w:b/>
          <w:sz w:val="24"/>
          <w:szCs w:val="24"/>
          <w:lang w:val="el-GR"/>
        </w:rPr>
        <w:t>Πίνακας Διακριτικών Ευχερειών</w:t>
      </w:r>
      <w:r w:rsidR="003C719B" w:rsidRPr="00A27B72">
        <w:rPr>
          <w:rFonts w:ascii="Arial" w:eastAsia="Times New Roman" w:hAnsi="Arial" w:cs="Arial"/>
          <w:b/>
          <w:sz w:val="24"/>
          <w:szCs w:val="24"/>
          <w:lang w:val="el-GR"/>
        </w:rPr>
        <w:t xml:space="preserve"> της Οδηγίας 2019/</w:t>
      </w:r>
      <w:r w:rsidR="00504583" w:rsidRPr="00504583">
        <w:rPr>
          <w:rFonts w:ascii="Arial" w:eastAsia="Times New Roman" w:hAnsi="Arial" w:cs="Arial"/>
          <w:b/>
          <w:sz w:val="24"/>
          <w:szCs w:val="24"/>
          <w:lang w:val="el-GR"/>
        </w:rPr>
        <w:t>2034</w:t>
      </w:r>
      <w:r w:rsidR="003C719B" w:rsidRPr="00A27B72">
        <w:rPr>
          <w:rFonts w:ascii="Arial" w:eastAsia="Times New Roman" w:hAnsi="Arial" w:cs="Arial"/>
          <w:b/>
          <w:sz w:val="24"/>
          <w:szCs w:val="24"/>
          <w:lang w:val="el-GR"/>
        </w:rPr>
        <w:t>/ΕΕ</w:t>
      </w:r>
    </w:p>
    <w:tbl>
      <w:tblPr>
        <w:tblStyle w:val="TableGrid"/>
        <w:tblW w:w="0" w:type="auto"/>
        <w:tblLook w:val="04A0" w:firstRow="1" w:lastRow="0" w:firstColumn="1" w:lastColumn="0" w:noHBand="0" w:noVBand="1"/>
      </w:tblPr>
      <w:tblGrid>
        <w:gridCol w:w="4317"/>
        <w:gridCol w:w="4313"/>
      </w:tblGrid>
      <w:tr w:rsidR="00472DAC" w14:paraId="7833A05A" w14:textId="77777777" w:rsidTr="00472DAC">
        <w:tc>
          <w:tcPr>
            <w:tcW w:w="4317" w:type="dxa"/>
            <w:tcBorders>
              <w:top w:val="single" w:sz="4" w:space="0" w:color="auto"/>
              <w:left w:val="single" w:sz="4" w:space="0" w:color="auto"/>
              <w:bottom w:val="single" w:sz="4" w:space="0" w:color="auto"/>
              <w:right w:val="single" w:sz="4" w:space="0" w:color="auto"/>
            </w:tcBorders>
            <w:hideMark/>
          </w:tcPr>
          <w:p w14:paraId="6827F747" w14:textId="77777777" w:rsidR="00472DAC" w:rsidRDefault="00472DAC">
            <w:pPr>
              <w:jc w:val="both"/>
              <w:rPr>
                <w:rFonts w:ascii="Arial" w:hAnsi="Arial" w:cs="Arial"/>
                <w:b/>
                <w:bCs/>
                <w:sz w:val="18"/>
                <w:szCs w:val="18"/>
              </w:rPr>
            </w:pPr>
            <w:r>
              <w:rPr>
                <w:rFonts w:ascii="Arial" w:hAnsi="Arial" w:cs="Arial"/>
                <w:b/>
                <w:bCs/>
                <w:sz w:val="18"/>
                <w:szCs w:val="18"/>
              </w:rPr>
              <w:t>ΟΔΗΓΙΑ (ΕΕ) 2019/2034 ΤΟΥ ΕΥΡΩΠΑΪΚΟΥ ΚΟΙΝΟΒΟΥΛΙΟΥ ΚΑΙ ΤΟΥ ΣΥΜΒΟΥΛΙΟΥ της 27ης Νοεμβρίου 2019 σχετικά με την προληπτική εποπτεία επιχειρήσεων επενδύσεων και την τροποποίηση των οδηγιών 2002/87/ΕΚ, 2009/65/ΕΚ, 2011/61/ΕΕ, 2013/36/ΕΕ, 2014/59/ΕΕ και 2014/65/ΕΕ.</w:t>
            </w:r>
          </w:p>
        </w:tc>
        <w:tc>
          <w:tcPr>
            <w:tcW w:w="4313" w:type="dxa"/>
            <w:tcBorders>
              <w:top w:val="single" w:sz="4" w:space="0" w:color="auto"/>
              <w:left w:val="single" w:sz="4" w:space="0" w:color="auto"/>
              <w:bottom w:val="single" w:sz="4" w:space="0" w:color="auto"/>
              <w:right w:val="single" w:sz="4" w:space="0" w:color="auto"/>
            </w:tcBorders>
            <w:hideMark/>
          </w:tcPr>
          <w:p w14:paraId="604644C5" w14:textId="77777777" w:rsidR="00472DAC" w:rsidRDefault="00472DAC">
            <w:pPr>
              <w:jc w:val="both"/>
              <w:rPr>
                <w:rFonts w:ascii="Arial" w:hAnsi="Arial" w:cs="Arial"/>
                <w:b/>
                <w:color w:val="000000"/>
                <w:sz w:val="18"/>
                <w:szCs w:val="18"/>
                <w:shd w:val="clear" w:color="auto" w:fill="FFFFFF"/>
              </w:rPr>
            </w:pPr>
            <w:r>
              <w:rPr>
                <w:rFonts w:ascii="Arial" w:hAnsi="Arial" w:cs="Arial"/>
                <w:b/>
                <w:color w:val="000000"/>
                <w:sz w:val="18"/>
                <w:szCs w:val="18"/>
                <w:shd w:val="clear" w:color="auto" w:fill="FFFFFF"/>
              </w:rPr>
              <w:t xml:space="preserve">Διακριτικές Ευχέρειες που ασκούνται και διακριτικές ευχέρειες που δεν ασκούνται δια του ΠΕΡΙ ΠΡΟΛΗΠΤΙΚΗΣ ΕΠΟΠΤΕΙΑΣ ΕΠΕΥ ΝΟΜΟΥ ΤΟΥ 2021 </w:t>
            </w:r>
          </w:p>
          <w:p w14:paraId="02C91B94" w14:textId="77777777" w:rsidR="00472DAC" w:rsidRDefault="00472DAC">
            <w:pPr>
              <w:jc w:val="both"/>
              <w:rPr>
                <w:rFonts w:ascii="Arial" w:hAnsi="Arial" w:cs="Arial"/>
                <w:sz w:val="18"/>
                <w:szCs w:val="18"/>
                <w:lang w:val="en-GB"/>
              </w:rPr>
            </w:pPr>
            <w:r>
              <w:rPr>
                <w:rFonts w:ascii="Arial" w:hAnsi="Arial" w:cs="Arial"/>
                <w:b/>
                <w:color w:val="000000"/>
                <w:sz w:val="18"/>
                <w:szCs w:val="18"/>
                <w:shd w:val="clear" w:color="auto" w:fill="FFFFFF"/>
              </w:rPr>
              <w:t>Ν.---(Ι)/2021</w:t>
            </w:r>
          </w:p>
        </w:tc>
      </w:tr>
      <w:tr w:rsidR="00472DAC" w14:paraId="3E4ADDE5" w14:textId="77777777" w:rsidTr="00472DAC">
        <w:tc>
          <w:tcPr>
            <w:tcW w:w="4317" w:type="dxa"/>
            <w:tcBorders>
              <w:top w:val="single" w:sz="4" w:space="0" w:color="auto"/>
              <w:left w:val="single" w:sz="4" w:space="0" w:color="auto"/>
              <w:bottom w:val="single" w:sz="4" w:space="0" w:color="auto"/>
              <w:right w:val="single" w:sz="4" w:space="0" w:color="auto"/>
            </w:tcBorders>
          </w:tcPr>
          <w:p w14:paraId="7A48FA40" w14:textId="77777777" w:rsidR="00472DAC" w:rsidRDefault="00472DAC">
            <w:pPr>
              <w:rPr>
                <w:rFonts w:ascii="Arial" w:hAnsi="Arial" w:cs="Arial"/>
                <w:sz w:val="18"/>
                <w:szCs w:val="18"/>
              </w:rPr>
            </w:pPr>
            <w:r>
              <w:rPr>
                <w:rFonts w:ascii="Arial" w:hAnsi="Arial" w:cs="Arial"/>
                <w:sz w:val="18"/>
                <w:szCs w:val="18"/>
              </w:rPr>
              <w:t>Άρθρο 32.3</w:t>
            </w:r>
          </w:p>
          <w:p w14:paraId="5CB56DCC" w14:textId="77777777" w:rsidR="00472DAC" w:rsidRDefault="00472DAC">
            <w:pPr>
              <w:rPr>
                <w:rFonts w:ascii="Arial" w:hAnsi="Arial" w:cs="Arial"/>
                <w:sz w:val="18"/>
                <w:szCs w:val="18"/>
              </w:rPr>
            </w:pPr>
          </w:p>
          <w:p w14:paraId="37421163" w14:textId="77777777" w:rsidR="00472DAC" w:rsidRDefault="00472DAC">
            <w:pPr>
              <w:rPr>
                <w:rFonts w:ascii="Arial" w:hAnsi="Arial" w:cs="Arial"/>
                <w:sz w:val="18"/>
                <w:szCs w:val="18"/>
              </w:rPr>
            </w:pPr>
            <w:r>
              <w:rPr>
                <w:rFonts w:ascii="Arial" w:hAnsi="Arial" w:cs="Arial"/>
                <w:sz w:val="18"/>
                <w:szCs w:val="18"/>
              </w:rPr>
              <w:t xml:space="preserve">Τα κράτη μέλη ή οι αρμόδιες αρχές τους </w:t>
            </w:r>
            <w:r>
              <w:rPr>
                <w:rFonts w:ascii="Arial" w:hAnsi="Arial" w:cs="Arial"/>
                <w:b/>
                <w:bCs/>
                <w:sz w:val="18"/>
                <w:szCs w:val="18"/>
              </w:rPr>
              <w:t>μπορούν</w:t>
            </w:r>
            <w:r>
              <w:rPr>
                <w:rFonts w:ascii="Arial" w:hAnsi="Arial" w:cs="Arial"/>
                <w:sz w:val="18"/>
                <w:szCs w:val="18"/>
              </w:rPr>
              <w:t xml:space="preserve"> να θέτουν περιορισμούς στο είδος και στον σχεδιασμό αυτών των μέσων ή να απαγορεύουν τη χρήση ορισμένων μέσων για τους σκοπούς των μεταβλητών αποδοχών.</w:t>
            </w:r>
          </w:p>
        </w:tc>
        <w:tc>
          <w:tcPr>
            <w:tcW w:w="4313" w:type="dxa"/>
            <w:tcBorders>
              <w:top w:val="single" w:sz="4" w:space="0" w:color="auto"/>
              <w:left w:val="single" w:sz="4" w:space="0" w:color="auto"/>
              <w:bottom w:val="single" w:sz="4" w:space="0" w:color="auto"/>
              <w:right w:val="single" w:sz="4" w:space="0" w:color="auto"/>
            </w:tcBorders>
          </w:tcPr>
          <w:p w14:paraId="7CA1DA7A" w14:textId="77777777" w:rsidR="00472DAC" w:rsidRDefault="00472DAC">
            <w:pPr>
              <w:rPr>
                <w:rFonts w:ascii="Arial" w:hAnsi="Arial" w:cs="Arial"/>
                <w:sz w:val="18"/>
                <w:szCs w:val="18"/>
              </w:rPr>
            </w:pPr>
            <w:r>
              <w:rPr>
                <w:rFonts w:ascii="Arial" w:hAnsi="Arial" w:cs="Arial"/>
                <w:sz w:val="18"/>
                <w:szCs w:val="18"/>
              </w:rPr>
              <w:t xml:space="preserve">άρθρο 26(4)  του Ν.---(Ι)/2021 </w:t>
            </w:r>
          </w:p>
          <w:p w14:paraId="68478084" w14:textId="77777777" w:rsidR="00472DAC" w:rsidRDefault="00472DAC">
            <w:pPr>
              <w:rPr>
                <w:rFonts w:ascii="Arial" w:hAnsi="Arial" w:cs="Arial"/>
                <w:sz w:val="18"/>
                <w:szCs w:val="18"/>
              </w:rPr>
            </w:pPr>
          </w:p>
          <w:p w14:paraId="1A1A2E15" w14:textId="77777777" w:rsidR="00472DAC" w:rsidRDefault="00472DAC">
            <w:pPr>
              <w:rPr>
                <w:rFonts w:ascii="Arial" w:hAnsi="Arial" w:cs="Arial"/>
                <w:sz w:val="18"/>
                <w:szCs w:val="18"/>
              </w:rPr>
            </w:pPr>
            <w:r>
              <w:rPr>
                <w:rFonts w:ascii="Arial" w:hAnsi="Arial" w:cs="Arial"/>
                <w:sz w:val="18"/>
                <w:szCs w:val="18"/>
              </w:rPr>
              <w:t xml:space="preserve">(4) </w:t>
            </w:r>
            <w:r>
              <w:rPr>
                <w:rFonts w:ascii="Arial" w:hAnsi="Arial" w:cs="Arial"/>
                <w:b/>
                <w:bCs/>
                <w:sz w:val="18"/>
                <w:szCs w:val="18"/>
              </w:rPr>
              <w:t>Η Επιτροπή δύναται</w:t>
            </w:r>
            <w:r>
              <w:rPr>
                <w:rFonts w:ascii="Arial" w:hAnsi="Arial" w:cs="Arial"/>
                <w:sz w:val="18"/>
                <w:szCs w:val="18"/>
              </w:rPr>
              <w:t xml:space="preserve"> να θέτει περιορισμούς στο είδος και στον σχεδιασμό των μέσων που αναφέρονται στο εδάφιο (3) ή να απαγορεύει τη χρήση ορισμένων μέσων για τους σκοπούς των μεταβλητών αποδοχών.</w:t>
            </w:r>
          </w:p>
          <w:p w14:paraId="7966A535" w14:textId="77777777" w:rsidR="00472DAC" w:rsidRDefault="00472DAC">
            <w:pPr>
              <w:rPr>
                <w:rFonts w:ascii="Arial" w:hAnsi="Arial" w:cs="Arial"/>
                <w:sz w:val="18"/>
                <w:szCs w:val="18"/>
              </w:rPr>
            </w:pPr>
          </w:p>
          <w:p w14:paraId="71DCCA54" w14:textId="77777777" w:rsidR="00472DAC" w:rsidRDefault="00472DAC">
            <w:pPr>
              <w:rPr>
                <w:rFonts w:ascii="Arial" w:hAnsi="Arial" w:cs="Arial"/>
                <w:sz w:val="18"/>
                <w:szCs w:val="18"/>
              </w:rPr>
            </w:pPr>
            <w:r>
              <w:rPr>
                <w:rFonts w:ascii="Arial" w:hAnsi="Arial" w:cs="Arial"/>
                <w:sz w:val="18"/>
                <w:szCs w:val="18"/>
              </w:rPr>
              <w:t>Ασκήθηκε</w:t>
            </w:r>
          </w:p>
        </w:tc>
      </w:tr>
      <w:tr w:rsidR="00472DAC" w14:paraId="414BFA45" w14:textId="77777777" w:rsidTr="00472DAC">
        <w:tc>
          <w:tcPr>
            <w:tcW w:w="4317" w:type="dxa"/>
            <w:tcBorders>
              <w:top w:val="single" w:sz="4" w:space="0" w:color="auto"/>
              <w:left w:val="single" w:sz="4" w:space="0" w:color="auto"/>
              <w:bottom w:val="single" w:sz="4" w:space="0" w:color="auto"/>
              <w:right w:val="single" w:sz="4" w:space="0" w:color="auto"/>
            </w:tcBorders>
          </w:tcPr>
          <w:p w14:paraId="592F6AE3" w14:textId="77777777" w:rsidR="00472DAC" w:rsidRPr="00472DAC" w:rsidRDefault="00472DAC">
            <w:pPr>
              <w:jc w:val="both"/>
              <w:rPr>
                <w:rFonts w:ascii="Arial" w:hAnsi="Arial" w:cs="Arial"/>
                <w:sz w:val="18"/>
                <w:szCs w:val="18"/>
              </w:rPr>
            </w:pPr>
            <w:r>
              <w:rPr>
                <w:rFonts w:ascii="Arial" w:hAnsi="Arial" w:cs="Arial"/>
                <w:sz w:val="18"/>
                <w:szCs w:val="18"/>
              </w:rPr>
              <w:t>Άρθρο 32.5</w:t>
            </w:r>
          </w:p>
          <w:p w14:paraId="0B24785C" w14:textId="77777777" w:rsidR="00472DAC" w:rsidRDefault="00472DAC">
            <w:pPr>
              <w:jc w:val="both"/>
              <w:rPr>
                <w:rFonts w:ascii="Arial" w:hAnsi="Arial" w:cs="Arial"/>
                <w:sz w:val="18"/>
                <w:szCs w:val="18"/>
              </w:rPr>
            </w:pPr>
          </w:p>
          <w:p w14:paraId="112A187F" w14:textId="77777777" w:rsidR="00472DAC" w:rsidRDefault="00472DAC">
            <w:pPr>
              <w:jc w:val="both"/>
              <w:rPr>
                <w:rFonts w:ascii="Arial" w:hAnsi="Arial" w:cs="Arial"/>
                <w:sz w:val="18"/>
                <w:szCs w:val="18"/>
              </w:rPr>
            </w:pPr>
            <w:r>
              <w:rPr>
                <w:rFonts w:ascii="Arial" w:hAnsi="Arial" w:cs="Arial"/>
                <w:sz w:val="18"/>
                <w:szCs w:val="18"/>
              </w:rPr>
              <w:t xml:space="preserve">Κατά παρέκκλιση από την παράγραφο 4 στοιχείο α), </w:t>
            </w:r>
            <w:r>
              <w:rPr>
                <w:rFonts w:ascii="Arial" w:hAnsi="Arial" w:cs="Arial"/>
                <w:b/>
                <w:bCs/>
                <w:sz w:val="18"/>
                <w:szCs w:val="18"/>
              </w:rPr>
              <w:t>το κράτος μέλος μπορεί</w:t>
            </w:r>
            <w:r>
              <w:rPr>
                <w:rFonts w:ascii="Arial" w:hAnsi="Arial" w:cs="Arial"/>
                <w:sz w:val="18"/>
                <w:szCs w:val="18"/>
              </w:rPr>
              <w:t xml:space="preserve"> να αυξήσει το όριο που αναφέρεται στο εν λόγω στοιχείο υπό την προϋπόθεση ότι η επιχείρηση επενδύσεων πληροί τα ακόλουθα κριτήρια:</w:t>
            </w:r>
          </w:p>
        </w:tc>
        <w:tc>
          <w:tcPr>
            <w:tcW w:w="4313" w:type="dxa"/>
            <w:tcBorders>
              <w:top w:val="single" w:sz="4" w:space="0" w:color="auto"/>
              <w:left w:val="single" w:sz="4" w:space="0" w:color="auto"/>
              <w:bottom w:val="single" w:sz="4" w:space="0" w:color="auto"/>
              <w:right w:val="single" w:sz="4" w:space="0" w:color="auto"/>
            </w:tcBorders>
          </w:tcPr>
          <w:p w14:paraId="16FA8706" w14:textId="77777777" w:rsidR="00472DAC" w:rsidRDefault="00472DAC">
            <w:pPr>
              <w:rPr>
                <w:rFonts w:ascii="Arial" w:hAnsi="Arial" w:cs="Arial"/>
                <w:sz w:val="18"/>
                <w:szCs w:val="18"/>
              </w:rPr>
            </w:pPr>
            <w:r>
              <w:rPr>
                <w:rFonts w:ascii="Arial" w:hAnsi="Arial" w:cs="Arial"/>
                <w:sz w:val="18"/>
                <w:szCs w:val="18"/>
              </w:rPr>
              <w:t xml:space="preserve">άρθρο 26(9)  του Ν.---(Ι)/2021  </w:t>
            </w:r>
          </w:p>
          <w:p w14:paraId="241A9E37" w14:textId="77777777" w:rsidR="00472DAC" w:rsidRDefault="00472DAC">
            <w:pPr>
              <w:rPr>
                <w:rFonts w:ascii="Arial" w:hAnsi="Arial" w:cs="Arial"/>
                <w:sz w:val="18"/>
                <w:szCs w:val="18"/>
              </w:rPr>
            </w:pPr>
          </w:p>
          <w:p w14:paraId="2C345DD4" w14:textId="77777777" w:rsidR="00472DAC" w:rsidRDefault="00472DAC">
            <w:pPr>
              <w:jc w:val="both"/>
              <w:rPr>
                <w:rFonts w:ascii="Arial" w:hAnsi="Arial" w:cs="Arial"/>
                <w:sz w:val="18"/>
                <w:szCs w:val="18"/>
              </w:rPr>
            </w:pPr>
            <w:r>
              <w:rPr>
                <w:rFonts w:ascii="Arial" w:hAnsi="Arial" w:cs="Arial"/>
                <w:sz w:val="18"/>
                <w:szCs w:val="18"/>
              </w:rPr>
              <w:t xml:space="preserve">Κατά παρέκκλιση από την παράγραφο (α) του εδαφίου (8), </w:t>
            </w:r>
            <w:r>
              <w:rPr>
                <w:rFonts w:ascii="Arial" w:hAnsi="Arial" w:cs="Arial"/>
                <w:b/>
                <w:bCs/>
                <w:sz w:val="18"/>
                <w:szCs w:val="18"/>
              </w:rPr>
              <w:t>η Επιτροπή δύναται</w:t>
            </w:r>
            <w:r>
              <w:rPr>
                <w:rFonts w:ascii="Arial" w:hAnsi="Arial" w:cs="Arial"/>
                <w:sz w:val="18"/>
                <w:szCs w:val="18"/>
              </w:rPr>
              <w:t>, με την έκδοση οδηγιών, να αυξήσει το όριο που αναφέρεται στην εν λόγω παράγραφο υπό την προϋπόθεση ότι η ΚΕΠΕΥ πληροί τα ακόλουθα κριτήρια:</w:t>
            </w:r>
          </w:p>
          <w:p w14:paraId="70004A2E" w14:textId="77777777" w:rsidR="00472DAC" w:rsidRDefault="00472DAC">
            <w:pPr>
              <w:jc w:val="both"/>
              <w:rPr>
                <w:rFonts w:ascii="Arial" w:hAnsi="Arial" w:cs="Arial"/>
                <w:sz w:val="18"/>
                <w:szCs w:val="18"/>
              </w:rPr>
            </w:pPr>
          </w:p>
          <w:p w14:paraId="562AC171" w14:textId="77777777" w:rsidR="00472DAC" w:rsidRDefault="00472DAC">
            <w:pPr>
              <w:rPr>
                <w:rFonts w:ascii="Arial" w:hAnsi="Arial" w:cs="Arial"/>
                <w:sz w:val="18"/>
                <w:szCs w:val="18"/>
              </w:rPr>
            </w:pPr>
            <w:r>
              <w:rPr>
                <w:rFonts w:ascii="Arial" w:hAnsi="Arial" w:cs="Arial"/>
                <w:sz w:val="18"/>
                <w:szCs w:val="18"/>
              </w:rPr>
              <w:t>Ασκήθηκε</w:t>
            </w:r>
          </w:p>
        </w:tc>
      </w:tr>
      <w:tr w:rsidR="00472DAC" w14:paraId="4A023651" w14:textId="77777777" w:rsidTr="00472DAC">
        <w:tc>
          <w:tcPr>
            <w:tcW w:w="4317" w:type="dxa"/>
            <w:tcBorders>
              <w:top w:val="single" w:sz="4" w:space="0" w:color="auto"/>
              <w:left w:val="single" w:sz="4" w:space="0" w:color="auto"/>
              <w:bottom w:val="single" w:sz="4" w:space="0" w:color="auto"/>
              <w:right w:val="single" w:sz="4" w:space="0" w:color="auto"/>
            </w:tcBorders>
          </w:tcPr>
          <w:p w14:paraId="1ACD0A53" w14:textId="77777777" w:rsidR="00472DAC" w:rsidRDefault="00472DAC">
            <w:pPr>
              <w:jc w:val="both"/>
              <w:rPr>
                <w:rFonts w:ascii="Arial" w:hAnsi="Arial" w:cs="Arial"/>
                <w:sz w:val="18"/>
                <w:szCs w:val="18"/>
              </w:rPr>
            </w:pPr>
            <w:r>
              <w:rPr>
                <w:rFonts w:ascii="Arial" w:hAnsi="Arial" w:cs="Arial"/>
                <w:sz w:val="18"/>
                <w:szCs w:val="18"/>
              </w:rPr>
              <w:t>Άρθρο 32.6</w:t>
            </w:r>
          </w:p>
          <w:p w14:paraId="4711E326" w14:textId="77777777" w:rsidR="00472DAC" w:rsidRDefault="00472DAC">
            <w:pPr>
              <w:jc w:val="both"/>
              <w:rPr>
                <w:rFonts w:ascii="Arial" w:hAnsi="Arial" w:cs="Arial"/>
                <w:sz w:val="18"/>
                <w:szCs w:val="18"/>
              </w:rPr>
            </w:pPr>
          </w:p>
          <w:p w14:paraId="14441035" w14:textId="77777777" w:rsidR="00472DAC" w:rsidRPr="00472DAC" w:rsidRDefault="00472DAC">
            <w:pPr>
              <w:jc w:val="both"/>
              <w:rPr>
                <w:rFonts w:ascii="Arial" w:hAnsi="Arial" w:cs="Arial"/>
                <w:sz w:val="18"/>
                <w:szCs w:val="18"/>
              </w:rPr>
            </w:pPr>
            <w:r>
              <w:rPr>
                <w:rFonts w:ascii="Arial" w:hAnsi="Arial" w:cs="Arial"/>
                <w:sz w:val="18"/>
                <w:szCs w:val="18"/>
              </w:rPr>
              <w:t xml:space="preserve">Κατά παρέκκλιση από την παράγραφο 4 στοιχείο α), το </w:t>
            </w:r>
            <w:r>
              <w:rPr>
                <w:rFonts w:ascii="Arial" w:hAnsi="Arial" w:cs="Arial"/>
                <w:b/>
                <w:bCs/>
                <w:sz w:val="18"/>
                <w:szCs w:val="18"/>
              </w:rPr>
              <w:t>κράτος μέλος μπορεί</w:t>
            </w:r>
            <w:r>
              <w:rPr>
                <w:rFonts w:ascii="Arial" w:hAnsi="Arial" w:cs="Arial"/>
                <w:sz w:val="18"/>
                <w:szCs w:val="18"/>
              </w:rPr>
              <w:t xml:space="preserve"> να μειώσει το όριο που αναφέρεται στο εν λόγω στοιχείο, εφόσον αυτό είναι σκόπιμο, λαμβανομένων υπόψη της φύσης και του πεδίου των δραστηριοτήτων της επιχείρησης επενδύσεων, της εσωτερικής της οργάνωσης και, κατά περίπτωση, των χαρακτηριστικών του ομίλου στον οποίο ανήκει.</w:t>
            </w:r>
          </w:p>
        </w:tc>
        <w:tc>
          <w:tcPr>
            <w:tcW w:w="4313" w:type="dxa"/>
            <w:tcBorders>
              <w:top w:val="single" w:sz="4" w:space="0" w:color="auto"/>
              <w:left w:val="single" w:sz="4" w:space="0" w:color="auto"/>
              <w:bottom w:val="single" w:sz="4" w:space="0" w:color="auto"/>
              <w:right w:val="single" w:sz="4" w:space="0" w:color="auto"/>
            </w:tcBorders>
          </w:tcPr>
          <w:p w14:paraId="122E8E35" w14:textId="77777777" w:rsidR="00472DAC" w:rsidRDefault="00472DAC">
            <w:pPr>
              <w:jc w:val="both"/>
              <w:rPr>
                <w:rFonts w:ascii="Arial" w:hAnsi="Arial" w:cs="Arial"/>
                <w:sz w:val="18"/>
                <w:szCs w:val="18"/>
              </w:rPr>
            </w:pPr>
            <w:r>
              <w:rPr>
                <w:rFonts w:ascii="Arial" w:hAnsi="Arial" w:cs="Arial"/>
                <w:sz w:val="18"/>
                <w:szCs w:val="18"/>
              </w:rPr>
              <w:t xml:space="preserve">άρθρο 26(10)  του Ν.---(Ι)/2021  </w:t>
            </w:r>
          </w:p>
          <w:p w14:paraId="1F124FA3" w14:textId="77777777" w:rsidR="00472DAC" w:rsidRDefault="00472DAC">
            <w:pPr>
              <w:jc w:val="both"/>
              <w:rPr>
                <w:rFonts w:ascii="Arial" w:hAnsi="Arial" w:cs="Arial"/>
                <w:sz w:val="18"/>
                <w:szCs w:val="18"/>
              </w:rPr>
            </w:pPr>
          </w:p>
          <w:p w14:paraId="1C85E587" w14:textId="77777777" w:rsidR="00472DAC" w:rsidRDefault="00472DAC">
            <w:pPr>
              <w:jc w:val="both"/>
              <w:rPr>
                <w:rFonts w:ascii="Arial" w:hAnsi="Arial" w:cs="Arial"/>
                <w:sz w:val="18"/>
                <w:szCs w:val="18"/>
              </w:rPr>
            </w:pPr>
            <w:r>
              <w:rPr>
                <w:rFonts w:ascii="Arial" w:hAnsi="Arial" w:cs="Arial"/>
                <w:sz w:val="18"/>
                <w:szCs w:val="18"/>
              </w:rPr>
              <w:t xml:space="preserve">Κατά παρέκκλιση από την παράγραφο (α) του εδαφίου (8), </w:t>
            </w:r>
            <w:r>
              <w:rPr>
                <w:rFonts w:ascii="Arial" w:hAnsi="Arial" w:cs="Arial"/>
                <w:b/>
                <w:bCs/>
                <w:sz w:val="18"/>
                <w:szCs w:val="18"/>
              </w:rPr>
              <w:t>η Επιτροπή, δύναται</w:t>
            </w:r>
            <w:r>
              <w:rPr>
                <w:rFonts w:ascii="Arial" w:hAnsi="Arial" w:cs="Arial"/>
                <w:sz w:val="18"/>
                <w:szCs w:val="18"/>
              </w:rPr>
              <w:t>, με την έκδοση οδηγιών, να μειώσει το όριο που αναφέρεται στην εν λόγω παράγραφο, εφόσον αυτό είναι σκόπιμο, λαμβανομένων υπόψη της φύσης και του πεδίου των δραστηριοτήτων της ΚΕΠΕΥ, της εσωτερικής της οργάνωσης και, κατά περίπτωση, των χαρακτηριστικών του ομίλου στον οποίο ανήκει.</w:t>
            </w:r>
          </w:p>
          <w:p w14:paraId="57C32031" w14:textId="77777777" w:rsidR="00472DAC" w:rsidRDefault="00472DAC">
            <w:pPr>
              <w:jc w:val="both"/>
              <w:rPr>
                <w:rFonts w:ascii="Arial" w:hAnsi="Arial" w:cs="Arial"/>
                <w:sz w:val="18"/>
                <w:szCs w:val="18"/>
              </w:rPr>
            </w:pPr>
          </w:p>
          <w:p w14:paraId="73B6E1D2" w14:textId="77777777" w:rsidR="00472DAC" w:rsidRDefault="00472DAC">
            <w:pPr>
              <w:jc w:val="both"/>
              <w:rPr>
                <w:rFonts w:ascii="Arial" w:hAnsi="Arial" w:cs="Arial"/>
                <w:sz w:val="18"/>
                <w:szCs w:val="18"/>
              </w:rPr>
            </w:pPr>
            <w:r>
              <w:rPr>
                <w:rFonts w:ascii="Arial" w:hAnsi="Arial" w:cs="Arial"/>
                <w:sz w:val="18"/>
                <w:szCs w:val="18"/>
              </w:rPr>
              <w:t>Ασκήθηκε</w:t>
            </w:r>
          </w:p>
        </w:tc>
      </w:tr>
      <w:tr w:rsidR="00472DAC" w14:paraId="498F0646" w14:textId="77777777" w:rsidTr="00472DAC">
        <w:tc>
          <w:tcPr>
            <w:tcW w:w="4317" w:type="dxa"/>
            <w:tcBorders>
              <w:top w:val="single" w:sz="4" w:space="0" w:color="auto"/>
              <w:left w:val="single" w:sz="4" w:space="0" w:color="auto"/>
              <w:bottom w:val="single" w:sz="4" w:space="0" w:color="auto"/>
              <w:right w:val="single" w:sz="4" w:space="0" w:color="auto"/>
            </w:tcBorders>
          </w:tcPr>
          <w:p w14:paraId="51EA932C" w14:textId="77777777" w:rsidR="00472DAC" w:rsidRDefault="00472DAC">
            <w:pPr>
              <w:jc w:val="both"/>
              <w:rPr>
                <w:rFonts w:ascii="Arial" w:hAnsi="Arial" w:cs="Arial"/>
                <w:sz w:val="18"/>
                <w:szCs w:val="18"/>
              </w:rPr>
            </w:pPr>
            <w:r>
              <w:rPr>
                <w:rFonts w:ascii="Arial" w:hAnsi="Arial" w:cs="Arial"/>
                <w:sz w:val="18"/>
                <w:szCs w:val="18"/>
              </w:rPr>
              <w:t>Άρθρο 32.7</w:t>
            </w:r>
          </w:p>
          <w:p w14:paraId="2F1CDF58" w14:textId="77777777" w:rsidR="00472DAC" w:rsidRDefault="00472DAC">
            <w:pPr>
              <w:jc w:val="both"/>
              <w:rPr>
                <w:rFonts w:ascii="Arial" w:hAnsi="Arial" w:cs="Arial"/>
                <w:sz w:val="18"/>
                <w:szCs w:val="18"/>
              </w:rPr>
            </w:pPr>
          </w:p>
          <w:p w14:paraId="01B0FD14" w14:textId="77777777" w:rsidR="00472DAC" w:rsidRDefault="00472DAC">
            <w:pPr>
              <w:jc w:val="both"/>
              <w:rPr>
                <w:rFonts w:ascii="Arial" w:hAnsi="Arial" w:cs="Arial"/>
                <w:sz w:val="18"/>
                <w:szCs w:val="18"/>
              </w:rPr>
            </w:pPr>
            <w:r>
              <w:rPr>
                <w:rFonts w:ascii="Arial" w:hAnsi="Arial" w:cs="Arial"/>
                <w:sz w:val="18"/>
                <w:szCs w:val="18"/>
              </w:rPr>
              <w:t xml:space="preserve">Κατά παρέκκλιση από την παράγραφο 4 στοιχείο β), το </w:t>
            </w:r>
            <w:r>
              <w:rPr>
                <w:rFonts w:ascii="Arial" w:hAnsi="Arial" w:cs="Arial"/>
                <w:b/>
                <w:bCs/>
                <w:sz w:val="18"/>
                <w:szCs w:val="18"/>
              </w:rPr>
              <w:t>κράτος μέλος μπορεί</w:t>
            </w:r>
            <w:r>
              <w:rPr>
                <w:rFonts w:ascii="Arial" w:hAnsi="Arial" w:cs="Arial"/>
                <w:sz w:val="18"/>
                <w:szCs w:val="18"/>
              </w:rPr>
              <w:t xml:space="preserve"> να αποφασίσει ότι τα μέλη του προσωπικού που δικαιούνται ετήσιες μεταβλητές αποδοχές κάτω από το όριο και το μερίδιο που αναφέρονται στο εν λόγω στοιχείο δεν εμπίπτουν στην απαλλαγή που ορίζεται σε αυτό λόγω των ιδιαιτεροτήτων της εθνικής αγοράς όσον αφορά τις πρακτικές αποδοχών ή λόγω της φύσης των αρμοδιοτήτων και της περιγραφής καθηκόντων των εν λόγω μελών του προσωπικού.</w:t>
            </w:r>
          </w:p>
        </w:tc>
        <w:tc>
          <w:tcPr>
            <w:tcW w:w="4313" w:type="dxa"/>
            <w:tcBorders>
              <w:top w:val="single" w:sz="4" w:space="0" w:color="auto"/>
              <w:left w:val="single" w:sz="4" w:space="0" w:color="auto"/>
              <w:bottom w:val="single" w:sz="4" w:space="0" w:color="auto"/>
              <w:right w:val="single" w:sz="4" w:space="0" w:color="auto"/>
            </w:tcBorders>
          </w:tcPr>
          <w:p w14:paraId="7DE98E07" w14:textId="77777777" w:rsidR="00472DAC" w:rsidRPr="00472DAC" w:rsidRDefault="00472DAC">
            <w:pPr>
              <w:jc w:val="both"/>
              <w:rPr>
                <w:rFonts w:ascii="Arial" w:hAnsi="Arial" w:cs="Arial"/>
                <w:sz w:val="18"/>
                <w:szCs w:val="18"/>
              </w:rPr>
            </w:pPr>
            <w:r>
              <w:rPr>
                <w:rFonts w:ascii="Arial" w:hAnsi="Arial" w:cs="Arial"/>
                <w:sz w:val="18"/>
                <w:szCs w:val="18"/>
              </w:rPr>
              <w:t xml:space="preserve">άρθρο 26(11)  του Ν.---(Ι)/2021  </w:t>
            </w:r>
          </w:p>
          <w:p w14:paraId="03FA915E" w14:textId="77777777" w:rsidR="00472DAC" w:rsidRDefault="00472DAC">
            <w:pPr>
              <w:jc w:val="both"/>
              <w:rPr>
                <w:rFonts w:ascii="Arial" w:hAnsi="Arial" w:cs="Arial"/>
                <w:sz w:val="18"/>
                <w:szCs w:val="18"/>
              </w:rPr>
            </w:pPr>
          </w:p>
          <w:p w14:paraId="3EA78011" w14:textId="77777777" w:rsidR="00472DAC" w:rsidRDefault="00472DAC">
            <w:pPr>
              <w:jc w:val="both"/>
              <w:rPr>
                <w:rFonts w:ascii="Arial" w:hAnsi="Arial" w:cs="Arial"/>
                <w:sz w:val="18"/>
                <w:szCs w:val="18"/>
              </w:rPr>
            </w:pPr>
            <w:r>
              <w:rPr>
                <w:rFonts w:ascii="Arial" w:hAnsi="Arial" w:cs="Arial"/>
                <w:sz w:val="18"/>
                <w:szCs w:val="18"/>
              </w:rPr>
              <w:t>Κατά παρέκκλιση από την παράγραφο (β) του εδαφίου (8), τα μέλη του προσωπικού που δικαιούνται ετήσιες μεταβλητές αποδοχές κάτω από το όριο και το μερίδιο που αναφέρονται στην εν λόγω παράγραφο δεν εμπίπτουν στην απαλλαγή που ορίζεται σε αυτό λόγω των ιδιαιτεροτήτων της κυπριακής αγοράς όσον αφορά στις πρακτικές αποδοχών ή λόγω της φύσης των αρμοδιοτήτων και της περιγραφής καθηκόντων των εν λόγω μελών του προσωπικού.</w:t>
            </w:r>
          </w:p>
          <w:p w14:paraId="3AE8D981" w14:textId="77777777" w:rsidR="00472DAC" w:rsidRDefault="00472DAC">
            <w:pPr>
              <w:jc w:val="both"/>
              <w:rPr>
                <w:rFonts w:ascii="Arial" w:hAnsi="Arial" w:cs="Arial"/>
                <w:sz w:val="18"/>
                <w:szCs w:val="18"/>
              </w:rPr>
            </w:pPr>
          </w:p>
          <w:p w14:paraId="11ECEEBA" w14:textId="77777777" w:rsidR="00472DAC" w:rsidRDefault="00472DAC">
            <w:pPr>
              <w:jc w:val="both"/>
              <w:rPr>
                <w:rFonts w:ascii="Arial" w:hAnsi="Arial" w:cs="Arial"/>
                <w:sz w:val="18"/>
                <w:szCs w:val="18"/>
              </w:rPr>
            </w:pPr>
            <w:r>
              <w:rPr>
                <w:rFonts w:ascii="Arial" w:hAnsi="Arial" w:cs="Arial"/>
                <w:sz w:val="18"/>
                <w:szCs w:val="18"/>
              </w:rPr>
              <w:t>Ασκήθηκε</w:t>
            </w:r>
          </w:p>
        </w:tc>
      </w:tr>
    </w:tbl>
    <w:p w14:paraId="0CAACEBA" w14:textId="77777777" w:rsidR="00472DAC" w:rsidRPr="00A27B72" w:rsidRDefault="00472DAC" w:rsidP="005C6B50">
      <w:pPr>
        <w:spacing w:after="0" w:line="360" w:lineRule="auto"/>
        <w:jc w:val="center"/>
        <w:rPr>
          <w:rFonts w:ascii="Arial" w:eastAsia="Times New Roman" w:hAnsi="Arial" w:cs="Arial"/>
          <w:b/>
          <w:sz w:val="24"/>
          <w:szCs w:val="24"/>
          <w:lang w:val="el-GR"/>
        </w:rPr>
      </w:pPr>
    </w:p>
    <w:sectPr w:rsidR="00472DAC" w:rsidRPr="00A27B72" w:rsidSect="001A2EC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853CA" w14:textId="77777777" w:rsidR="002E745D" w:rsidRDefault="002E745D" w:rsidP="00B741A8">
      <w:pPr>
        <w:spacing w:after="0" w:line="240" w:lineRule="auto"/>
      </w:pPr>
      <w:r>
        <w:separator/>
      </w:r>
    </w:p>
  </w:endnote>
  <w:endnote w:type="continuationSeparator" w:id="0">
    <w:p w14:paraId="301D4C23" w14:textId="77777777" w:rsidR="002E745D" w:rsidRDefault="002E745D" w:rsidP="00B7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4C64D" w14:textId="77777777" w:rsidR="002E745D" w:rsidRDefault="002E745D" w:rsidP="00B741A8">
      <w:pPr>
        <w:spacing w:after="0" w:line="240" w:lineRule="auto"/>
      </w:pPr>
      <w:r>
        <w:separator/>
      </w:r>
    </w:p>
  </w:footnote>
  <w:footnote w:type="continuationSeparator" w:id="0">
    <w:p w14:paraId="7C425CDB" w14:textId="77777777" w:rsidR="002E745D" w:rsidRDefault="002E745D" w:rsidP="00B74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12DB3"/>
    <w:multiLevelType w:val="hybridMultilevel"/>
    <w:tmpl w:val="C63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36EDC"/>
    <w:multiLevelType w:val="hybridMultilevel"/>
    <w:tmpl w:val="07B2B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3857C73"/>
    <w:multiLevelType w:val="multilevel"/>
    <w:tmpl w:val="5A8E8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567278"/>
    <w:multiLevelType w:val="hybridMultilevel"/>
    <w:tmpl w:val="030637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E4A63A3"/>
    <w:multiLevelType w:val="multilevel"/>
    <w:tmpl w:val="6B0AB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8A6D93"/>
    <w:multiLevelType w:val="multilevel"/>
    <w:tmpl w:val="DBD04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E217A8"/>
    <w:multiLevelType w:val="hybridMultilevel"/>
    <w:tmpl w:val="5FAC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226752"/>
    <w:multiLevelType w:val="hybridMultilevel"/>
    <w:tmpl w:val="EFB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205976"/>
    <w:multiLevelType w:val="hybridMultilevel"/>
    <w:tmpl w:val="7A8A98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8"/>
  </w:num>
  <w:num w:numId="3">
    <w:abstractNumId w:val="2"/>
  </w:num>
  <w:num w:numId="4">
    <w:abstractNumId w:val="4"/>
  </w:num>
  <w:num w:numId="5">
    <w:abstractNumId w:val="5"/>
  </w:num>
  <w:num w:numId="6">
    <w:abstractNumId w:val="7"/>
  </w:num>
  <w:num w:numId="7">
    <w:abstractNumId w:val="0"/>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FA"/>
    <w:rsid w:val="00004FE4"/>
    <w:rsid w:val="00043C3E"/>
    <w:rsid w:val="00054D44"/>
    <w:rsid w:val="00063B9D"/>
    <w:rsid w:val="00077095"/>
    <w:rsid w:val="00081237"/>
    <w:rsid w:val="00097085"/>
    <w:rsid w:val="000B3B68"/>
    <w:rsid w:val="000C5CE8"/>
    <w:rsid w:val="0010024E"/>
    <w:rsid w:val="00101BC1"/>
    <w:rsid w:val="001131BA"/>
    <w:rsid w:val="00130374"/>
    <w:rsid w:val="001455E5"/>
    <w:rsid w:val="001512A7"/>
    <w:rsid w:val="00152F56"/>
    <w:rsid w:val="001546D1"/>
    <w:rsid w:val="001A2ECB"/>
    <w:rsid w:val="001A38A8"/>
    <w:rsid w:val="001A7B3D"/>
    <w:rsid w:val="001A7D47"/>
    <w:rsid w:val="001D07D2"/>
    <w:rsid w:val="001D26B6"/>
    <w:rsid w:val="001E0AA6"/>
    <w:rsid w:val="001E105F"/>
    <w:rsid w:val="001E3DA0"/>
    <w:rsid w:val="00224118"/>
    <w:rsid w:val="002272F2"/>
    <w:rsid w:val="00230BE3"/>
    <w:rsid w:val="002352AB"/>
    <w:rsid w:val="002A0D00"/>
    <w:rsid w:val="002A4BB4"/>
    <w:rsid w:val="002B479E"/>
    <w:rsid w:val="002C4F18"/>
    <w:rsid w:val="002C51B7"/>
    <w:rsid w:val="002C5ECC"/>
    <w:rsid w:val="002D0705"/>
    <w:rsid w:val="002E06DC"/>
    <w:rsid w:val="002E48CE"/>
    <w:rsid w:val="002E745D"/>
    <w:rsid w:val="0030055A"/>
    <w:rsid w:val="00311295"/>
    <w:rsid w:val="00313E00"/>
    <w:rsid w:val="00334E1E"/>
    <w:rsid w:val="00337D60"/>
    <w:rsid w:val="00391D2A"/>
    <w:rsid w:val="003C719B"/>
    <w:rsid w:val="003D3EAB"/>
    <w:rsid w:val="003E6AE5"/>
    <w:rsid w:val="003F6F99"/>
    <w:rsid w:val="00403835"/>
    <w:rsid w:val="00411A5E"/>
    <w:rsid w:val="0041267B"/>
    <w:rsid w:val="0043208E"/>
    <w:rsid w:val="004354CD"/>
    <w:rsid w:val="0044454D"/>
    <w:rsid w:val="00454335"/>
    <w:rsid w:val="00472DAC"/>
    <w:rsid w:val="00473F6B"/>
    <w:rsid w:val="004A4F52"/>
    <w:rsid w:val="004B5689"/>
    <w:rsid w:val="004C2F0E"/>
    <w:rsid w:val="004E2A36"/>
    <w:rsid w:val="004F0623"/>
    <w:rsid w:val="005016D5"/>
    <w:rsid w:val="00504583"/>
    <w:rsid w:val="00517E45"/>
    <w:rsid w:val="00534806"/>
    <w:rsid w:val="005616FA"/>
    <w:rsid w:val="005621D3"/>
    <w:rsid w:val="00592B3A"/>
    <w:rsid w:val="005A51C7"/>
    <w:rsid w:val="005B0EC3"/>
    <w:rsid w:val="005B25E6"/>
    <w:rsid w:val="005C6B50"/>
    <w:rsid w:val="005E0555"/>
    <w:rsid w:val="005E2B5B"/>
    <w:rsid w:val="005F1AEA"/>
    <w:rsid w:val="00607680"/>
    <w:rsid w:val="00661534"/>
    <w:rsid w:val="00690B0A"/>
    <w:rsid w:val="00691655"/>
    <w:rsid w:val="006A253A"/>
    <w:rsid w:val="006C4AD6"/>
    <w:rsid w:val="006D5EB1"/>
    <w:rsid w:val="006E202C"/>
    <w:rsid w:val="006F0722"/>
    <w:rsid w:val="00730BFD"/>
    <w:rsid w:val="0075668B"/>
    <w:rsid w:val="007672E0"/>
    <w:rsid w:val="0077113F"/>
    <w:rsid w:val="00773618"/>
    <w:rsid w:val="007B4B0C"/>
    <w:rsid w:val="007C6C90"/>
    <w:rsid w:val="007F07D9"/>
    <w:rsid w:val="00807517"/>
    <w:rsid w:val="00822979"/>
    <w:rsid w:val="00824A0C"/>
    <w:rsid w:val="00835944"/>
    <w:rsid w:val="00854104"/>
    <w:rsid w:val="008B23D4"/>
    <w:rsid w:val="008B544D"/>
    <w:rsid w:val="008C266F"/>
    <w:rsid w:val="008C4737"/>
    <w:rsid w:val="008F736D"/>
    <w:rsid w:val="0094221F"/>
    <w:rsid w:val="009A437C"/>
    <w:rsid w:val="009C0694"/>
    <w:rsid w:val="009C3B3A"/>
    <w:rsid w:val="009D4768"/>
    <w:rsid w:val="009D726E"/>
    <w:rsid w:val="009F3B4F"/>
    <w:rsid w:val="009F46D3"/>
    <w:rsid w:val="00A00C57"/>
    <w:rsid w:val="00A25463"/>
    <w:rsid w:val="00A27B72"/>
    <w:rsid w:val="00AA354C"/>
    <w:rsid w:val="00AC4351"/>
    <w:rsid w:val="00AC5403"/>
    <w:rsid w:val="00AD4CBA"/>
    <w:rsid w:val="00AF3B5C"/>
    <w:rsid w:val="00B14AD2"/>
    <w:rsid w:val="00B33CF0"/>
    <w:rsid w:val="00B55BE4"/>
    <w:rsid w:val="00B741A8"/>
    <w:rsid w:val="00B95176"/>
    <w:rsid w:val="00BA79C7"/>
    <w:rsid w:val="00C04DC7"/>
    <w:rsid w:val="00C14E0D"/>
    <w:rsid w:val="00C15B87"/>
    <w:rsid w:val="00C35877"/>
    <w:rsid w:val="00C46D0A"/>
    <w:rsid w:val="00C73AD6"/>
    <w:rsid w:val="00C813D4"/>
    <w:rsid w:val="00C976C4"/>
    <w:rsid w:val="00CA4C3E"/>
    <w:rsid w:val="00CF0E23"/>
    <w:rsid w:val="00D22B2A"/>
    <w:rsid w:val="00D63934"/>
    <w:rsid w:val="00D7313B"/>
    <w:rsid w:val="00D8397E"/>
    <w:rsid w:val="00DA4852"/>
    <w:rsid w:val="00DA6BEA"/>
    <w:rsid w:val="00DD1E4F"/>
    <w:rsid w:val="00E13866"/>
    <w:rsid w:val="00E174E8"/>
    <w:rsid w:val="00E2143C"/>
    <w:rsid w:val="00E640EE"/>
    <w:rsid w:val="00EA0870"/>
    <w:rsid w:val="00EA18B6"/>
    <w:rsid w:val="00EE566B"/>
    <w:rsid w:val="00EF2AFA"/>
    <w:rsid w:val="00F14192"/>
    <w:rsid w:val="00F21947"/>
    <w:rsid w:val="00F561D5"/>
    <w:rsid w:val="00F74ECA"/>
    <w:rsid w:val="00F751FD"/>
    <w:rsid w:val="00F8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0AD"/>
  <w15:docId w15:val="{05246031-7AA9-4954-9385-6BEACDB61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7D2"/>
    <w:rPr>
      <w:color w:val="0000FF" w:themeColor="hyperlink"/>
      <w:u w:val="single"/>
    </w:rPr>
  </w:style>
  <w:style w:type="paragraph" w:styleId="BalloonText">
    <w:name w:val="Balloon Text"/>
    <w:basedOn w:val="Normal"/>
    <w:link w:val="BalloonTextChar"/>
    <w:uiPriority w:val="99"/>
    <w:semiHidden/>
    <w:unhideWhenUsed/>
    <w:rsid w:val="00C35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877"/>
    <w:rPr>
      <w:rFonts w:ascii="Tahoma" w:hAnsi="Tahoma" w:cs="Tahoma"/>
      <w:sz w:val="16"/>
      <w:szCs w:val="16"/>
    </w:rPr>
  </w:style>
  <w:style w:type="paragraph" w:styleId="ListParagraph">
    <w:name w:val="List Paragraph"/>
    <w:basedOn w:val="Normal"/>
    <w:uiPriority w:val="34"/>
    <w:qFormat/>
    <w:rsid w:val="001A38A8"/>
    <w:pPr>
      <w:ind w:left="720"/>
      <w:contextualSpacing/>
    </w:pPr>
  </w:style>
  <w:style w:type="character" w:styleId="CommentReference">
    <w:name w:val="annotation reference"/>
    <w:basedOn w:val="DefaultParagraphFont"/>
    <w:uiPriority w:val="99"/>
    <w:semiHidden/>
    <w:unhideWhenUsed/>
    <w:rsid w:val="007B4B0C"/>
    <w:rPr>
      <w:sz w:val="16"/>
      <w:szCs w:val="16"/>
    </w:rPr>
  </w:style>
  <w:style w:type="paragraph" w:styleId="CommentText">
    <w:name w:val="annotation text"/>
    <w:basedOn w:val="Normal"/>
    <w:link w:val="CommentTextChar"/>
    <w:uiPriority w:val="99"/>
    <w:semiHidden/>
    <w:unhideWhenUsed/>
    <w:rsid w:val="007B4B0C"/>
    <w:pPr>
      <w:spacing w:line="240" w:lineRule="auto"/>
    </w:pPr>
    <w:rPr>
      <w:sz w:val="20"/>
      <w:szCs w:val="20"/>
    </w:rPr>
  </w:style>
  <w:style w:type="character" w:customStyle="1" w:styleId="CommentTextChar">
    <w:name w:val="Comment Text Char"/>
    <w:basedOn w:val="DefaultParagraphFont"/>
    <w:link w:val="CommentText"/>
    <w:uiPriority w:val="99"/>
    <w:semiHidden/>
    <w:rsid w:val="007B4B0C"/>
    <w:rPr>
      <w:sz w:val="20"/>
      <w:szCs w:val="20"/>
    </w:rPr>
  </w:style>
  <w:style w:type="paragraph" w:styleId="CommentSubject">
    <w:name w:val="annotation subject"/>
    <w:basedOn w:val="CommentText"/>
    <w:next w:val="CommentText"/>
    <w:link w:val="CommentSubjectChar"/>
    <w:uiPriority w:val="99"/>
    <w:semiHidden/>
    <w:unhideWhenUsed/>
    <w:rsid w:val="007B4B0C"/>
    <w:rPr>
      <w:b/>
      <w:bCs/>
    </w:rPr>
  </w:style>
  <w:style w:type="character" w:customStyle="1" w:styleId="CommentSubjectChar">
    <w:name w:val="Comment Subject Char"/>
    <w:basedOn w:val="CommentTextChar"/>
    <w:link w:val="CommentSubject"/>
    <w:uiPriority w:val="99"/>
    <w:semiHidden/>
    <w:rsid w:val="007B4B0C"/>
    <w:rPr>
      <w:b/>
      <w:bCs/>
      <w:sz w:val="20"/>
      <w:szCs w:val="20"/>
    </w:rPr>
  </w:style>
  <w:style w:type="paragraph" w:styleId="FootnoteText">
    <w:name w:val="footnote text"/>
    <w:basedOn w:val="Normal"/>
    <w:link w:val="FootnoteTextChar"/>
    <w:uiPriority w:val="99"/>
    <w:unhideWhenUsed/>
    <w:rsid w:val="00B741A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B741A8"/>
    <w:rPr>
      <w:rFonts w:ascii="Times New Roman" w:eastAsia="Times New Roman" w:hAnsi="Times New Roman" w:cs="Times New Roman"/>
      <w:sz w:val="20"/>
      <w:szCs w:val="20"/>
    </w:rPr>
  </w:style>
  <w:style w:type="character" w:styleId="FootnoteReference">
    <w:name w:val="footnote reference"/>
    <w:uiPriority w:val="99"/>
    <w:semiHidden/>
    <w:unhideWhenUsed/>
    <w:rsid w:val="00B741A8"/>
    <w:rPr>
      <w:vertAlign w:val="superscript"/>
    </w:rPr>
  </w:style>
  <w:style w:type="table" w:styleId="TableGrid">
    <w:name w:val="Table Grid"/>
    <w:basedOn w:val="TableNormal"/>
    <w:uiPriority w:val="39"/>
    <w:rsid w:val="005E0555"/>
    <w:pPr>
      <w:spacing w:after="0" w:line="240" w:lineRule="auto"/>
    </w:pPr>
    <w:rPr>
      <w:rFonts w:eastAsia="Calibri"/>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3208E"/>
    <w:rPr>
      <w:color w:val="605E5C"/>
      <w:shd w:val="clear" w:color="auto" w:fill="E1DFDD"/>
    </w:rPr>
  </w:style>
  <w:style w:type="character" w:styleId="FollowedHyperlink">
    <w:name w:val="FollowedHyperlink"/>
    <w:basedOn w:val="DefaultParagraphFont"/>
    <w:uiPriority w:val="99"/>
    <w:semiHidden/>
    <w:unhideWhenUsed/>
    <w:rsid w:val="00EA18B6"/>
    <w:rPr>
      <w:color w:val="800080" w:themeColor="followedHyperlink"/>
      <w:u w:val="single"/>
    </w:rPr>
  </w:style>
  <w:style w:type="paragraph" w:styleId="Header">
    <w:name w:val="header"/>
    <w:basedOn w:val="Normal"/>
    <w:link w:val="HeaderChar"/>
    <w:uiPriority w:val="99"/>
    <w:unhideWhenUsed/>
    <w:rsid w:val="009A43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37C"/>
  </w:style>
  <w:style w:type="paragraph" w:styleId="Footer">
    <w:name w:val="footer"/>
    <w:basedOn w:val="Normal"/>
    <w:link w:val="FooterChar"/>
    <w:uiPriority w:val="99"/>
    <w:unhideWhenUsed/>
    <w:rsid w:val="009A43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37C"/>
  </w:style>
  <w:style w:type="paragraph" w:styleId="HTMLPreformatted">
    <w:name w:val="HTML Preformatted"/>
    <w:basedOn w:val="Normal"/>
    <w:link w:val="HTMLPreformattedChar"/>
    <w:uiPriority w:val="99"/>
    <w:semiHidden/>
    <w:unhideWhenUsed/>
    <w:rsid w:val="00AD4CBA"/>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D4CBA"/>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20317">
      <w:bodyDiv w:val="1"/>
      <w:marLeft w:val="0"/>
      <w:marRight w:val="0"/>
      <w:marTop w:val="0"/>
      <w:marBottom w:val="0"/>
      <w:divBdr>
        <w:top w:val="none" w:sz="0" w:space="0" w:color="auto"/>
        <w:left w:val="none" w:sz="0" w:space="0" w:color="auto"/>
        <w:bottom w:val="none" w:sz="0" w:space="0" w:color="auto"/>
        <w:right w:val="none" w:sz="0" w:space="0" w:color="auto"/>
      </w:divBdr>
    </w:div>
    <w:div w:id="205071620">
      <w:bodyDiv w:val="1"/>
      <w:marLeft w:val="0"/>
      <w:marRight w:val="0"/>
      <w:marTop w:val="0"/>
      <w:marBottom w:val="0"/>
      <w:divBdr>
        <w:top w:val="none" w:sz="0" w:space="0" w:color="auto"/>
        <w:left w:val="none" w:sz="0" w:space="0" w:color="auto"/>
        <w:bottom w:val="none" w:sz="0" w:space="0" w:color="auto"/>
        <w:right w:val="none" w:sz="0" w:space="0" w:color="auto"/>
      </w:divBdr>
    </w:div>
    <w:div w:id="827747944">
      <w:bodyDiv w:val="1"/>
      <w:marLeft w:val="0"/>
      <w:marRight w:val="0"/>
      <w:marTop w:val="0"/>
      <w:marBottom w:val="0"/>
      <w:divBdr>
        <w:top w:val="none" w:sz="0" w:space="0" w:color="auto"/>
        <w:left w:val="none" w:sz="0" w:space="0" w:color="auto"/>
        <w:bottom w:val="none" w:sz="0" w:space="0" w:color="auto"/>
        <w:right w:val="none" w:sz="0" w:space="0" w:color="auto"/>
      </w:divBdr>
    </w:div>
    <w:div w:id="853037080">
      <w:bodyDiv w:val="1"/>
      <w:marLeft w:val="0"/>
      <w:marRight w:val="0"/>
      <w:marTop w:val="0"/>
      <w:marBottom w:val="0"/>
      <w:divBdr>
        <w:top w:val="none" w:sz="0" w:space="0" w:color="auto"/>
        <w:left w:val="none" w:sz="0" w:space="0" w:color="auto"/>
        <w:bottom w:val="none" w:sz="0" w:space="0" w:color="auto"/>
        <w:right w:val="none" w:sz="0" w:space="0" w:color="auto"/>
      </w:divBdr>
    </w:div>
    <w:div w:id="863976391">
      <w:bodyDiv w:val="1"/>
      <w:marLeft w:val="0"/>
      <w:marRight w:val="0"/>
      <w:marTop w:val="0"/>
      <w:marBottom w:val="0"/>
      <w:divBdr>
        <w:top w:val="none" w:sz="0" w:space="0" w:color="auto"/>
        <w:left w:val="none" w:sz="0" w:space="0" w:color="auto"/>
        <w:bottom w:val="none" w:sz="0" w:space="0" w:color="auto"/>
        <w:right w:val="none" w:sz="0" w:space="0" w:color="auto"/>
      </w:divBdr>
    </w:div>
    <w:div w:id="1025669549">
      <w:bodyDiv w:val="1"/>
      <w:marLeft w:val="0"/>
      <w:marRight w:val="0"/>
      <w:marTop w:val="0"/>
      <w:marBottom w:val="0"/>
      <w:divBdr>
        <w:top w:val="none" w:sz="0" w:space="0" w:color="auto"/>
        <w:left w:val="none" w:sz="0" w:space="0" w:color="auto"/>
        <w:bottom w:val="none" w:sz="0" w:space="0" w:color="auto"/>
        <w:right w:val="none" w:sz="0" w:space="0" w:color="auto"/>
      </w:divBdr>
    </w:div>
    <w:div w:id="1277953778">
      <w:bodyDiv w:val="1"/>
      <w:marLeft w:val="0"/>
      <w:marRight w:val="0"/>
      <w:marTop w:val="0"/>
      <w:marBottom w:val="0"/>
      <w:divBdr>
        <w:top w:val="none" w:sz="0" w:space="0" w:color="auto"/>
        <w:left w:val="none" w:sz="0" w:space="0" w:color="auto"/>
        <w:bottom w:val="none" w:sz="0" w:space="0" w:color="auto"/>
        <w:right w:val="none" w:sz="0" w:space="0" w:color="auto"/>
      </w:divBdr>
      <w:divsChild>
        <w:div w:id="192854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3A32019L2034" TargetMode="External"/><Relationship Id="rId3" Type="http://schemas.openxmlformats.org/officeDocument/2006/relationships/settings" Target="settings.xml"/><Relationship Id="rId7" Type="http://schemas.openxmlformats.org/officeDocument/2006/relationships/hyperlink" Target="https://ec.europa.eu/info/publications/171220-investment-firms-review_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iakallis@mof.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Pavlos Siakallis</cp:lastModifiedBy>
  <cp:revision>38</cp:revision>
  <cp:lastPrinted>2020-08-05T10:09:00Z</cp:lastPrinted>
  <dcterms:created xsi:type="dcterms:W3CDTF">2020-02-13T12:44:00Z</dcterms:created>
  <dcterms:modified xsi:type="dcterms:W3CDTF">2020-08-06T08:14:00Z</dcterms:modified>
</cp:coreProperties>
</file>